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F7E2" w14:textId="4073B969" w:rsidR="0096518D" w:rsidRPr="006F09DB" w:rsidRDefault="0096518D" w:rsidP="0096518D">
      <w:pPr>
        <w:numPr>
          <w:ilvl w:val="0"/>
          <w:numId w:val="21"/>
        </w:numPr>
        <w:jc w:val="center"/>
        <w:rPr>
          <w:rFonts w:cs="Arial"/>
          <w:b/>
          <w:bCs/>
        </w:rPr>
      </w:pPr>
      <w:r w:rsidRPr="006F09DB">
        <w:rPr>
          <w:rFonts w:cs="Arial"/>
          <w:b/>
          <w:bCs/>
        </w:rPr>
        <w:t>Allgemeine Geschäftsbedingungen (AGB)</w:t>
      </w:r>
      <w:r w:rsidR="0003166A">
        <w:rPr>
          <w:rFonts w:cs="Arial"/>
          <w:b/>
          <w:bCs/>
        </w:rPr>
        <w:t xml:space="preserve"> </w:t>
      </w:r>
      <w:r w:rsidRPr="006F09DB">
        <w:rPr>
          <w:rFonts w:cs="Arial"/>
          <w:b/>
          <w:bCs/>
        </w:rPr>
        <w:t>für gewerbliche Kunden (B2B)</w:t>
      </w:r>
    </w:p>
    <w:p w14:paraId="24176947" w14:textId="77777777" w:rsidR="0096518D" w:rsidRPr="006F09DB" w:rsidRDefault="0096518D" w:rsidP="0096518D">
      <w:pPr>
        <w:rPr>
          <w:rFonts w:cs="Arial"/>
          <w:sz w:val="22"/>
          <w:szCs w:val="22"/>
        </w:rPr>
      </w:pPr>
    </w:p>
    <w:p w14:paraId="312E89E8" w14:textId="77777777" w:rsidR="0096518D" w:rsidRPr="006F09DB" w:rsidRDefault="0096518D" w:rsidP="0096518D">
      <w:pPr>
        <w:rPr>
          <w:rFonts w:cs="Arial"/>
          <w:sz w:val="22"/>
          <w:szCs w:val="22"/>
        </w:rPr>
      </w:pPr>
    </w:p>
    <w:p w14:paraId="616D5D33" w14:textId="77777777" w:rsidR="0096518D" w:rsidRPr="006F09DB" w:rsidRDefault="0096518D" w:rsidP="0096518D">
      <w:pPr>
        <w:numPr>
          <w:ilvl w:val="0"/>
          <w:numId w:val="20"/>
        </w:numPr>
        <w:ind w:left="426"/>
        <w:rPr>
          <w:rFonts w:cs="Arial"/>
          <w:sz w:val="22"/>
          <w:szCs w:val="22"/>
        </w:rPr>
      </w:pPr>
      <w:r w:rsidRPr="006F09DB">
        <w:rPr>
          <w:rFonts w:cs="Arial"/>
          <w:sz w:val="22"/>
          <w:szCs w:val="22"/>
        </w:rPr>
        <w:t xml:space="preserve">Geltungsbereich </w:t>
      </w:r>
    </w:p>
    <w:p w14:paraId="3B9D5827" w14:textId="77777777" w:rsidR="0096518D" w:rsidRPr="006F09DB" w:rsidRDefault="0096518D" w:rsidP="0096518D">
      <w:pPr>
        <w:numPr>
          <w:ilvl w:val="0"/>
          <w:numId w:val="20"/>
        </w:numPr>
        <w:ind w:left="426"/>
        <w:rPr>
          <w:rFonts w:cs="Arial"/>
          <w:sz w:val="22"/>
          <w:szCs w:val="22"/>
        </w:rPr>
      </w:pPr>
      <w:r w:rsidRPr="006F09DB">
        <w:rPr>
          <w:rFonts w:cs="Arial"/>
          <w:sz w:val="22"/>
          <w:szCs w:val="22"/>
        </w:rPr>
        <w:t>Registrierung als gewerblicher Kunde</w:t>
      </w:r>
    </w:p>
    <w:p w14:paraId="1E4B95DB" w14:textId="77777777" w:rsidR="0096518D" w:rsidRPr="006F09DB" w:rsidRDefault="0096518D" w:rsidP="0096518D">
      <w:pPr>
        <w:numPr>
          <w:ilvl w:val="0"/>
          <w:numId w:val="20"/>
        </w:numPr>
        <w:ind w:left="426"/>
        <w:rPr>
          <w:rFonts w:cs="Arial"/>
          <w:sz w:val="22"/>
          <w:szCs w:val="22"/>
        </w:rPr>
      </w:pPr>
      <w:r w:rsidRPr="006F09DB">
        <w:rPr>
          <w:rFonts w:cs="Arial"/>
          <w:sz w:val="22"/>
          <w:szCs w:val="22"/>
        </w:rPr>
        <w:t>Preise</w:t>
      </w:r>
    </w:p>
    <w:p w14:paraId="54C0A330" w14:textId="77777777" w:rsidR="0096518D" w:rsidRPr="006F09DB" w:rsidRDefault="0096518D" w:rsidP="0096518D">
      <w:pPr>
        <w:numPr>
          <w:ilvl w:val="0"/>
          <w:numId w:val="20"/>
        </w:numPr>
        <w:ind w:left="426"/>
        <w:rPr>
          <w:rFonts w:cs="Arial"/>
          <w:sz w:val="22"/>
          <w:szCs w:val="22"/>
        </w:rPr>
      </w:pPr>
      <w:r w:rsidRPr="006F09DB">
        <w:rPr>
          <w:rFonts w:cs="Arial"/>
          <w:sz w:val="22"/>
          <w:szCs w:val="22"/>
        </w:rPr>
        <w:t>Vertragspartner</w:t>
      </w:r>
    </w:p>
    <w:p w14:paraId="7D413DDA" w14:textId="77777777" w:rsidR="0096518D" w:rsidRPr="006F09DB" w:rsidRDefault="0096518D" w:rsidP="0096518D">
      <w:pPr>
        <w:numPr>
          <w:ilvl w:val="0"/>
          <w:numId w:val="20"/>
        </w:numPr>
        <w:ind w:left="426"/>
        <w:rPr>
          <w:rFonts w:cs="Arial"/>
          <w:sz w:val="22"/>
          <w:szCs w:val="22"/>
        </w:rPr>
      </w:pPr>
      <w:r w:rsidRPr="006F09DB">
        <w:rPr>
          <w:rFonts w:cs="Arial"/>
          <w:sz w:val="22"/>
          <w:szCs w:val="22"/>
        </w:rPr>
        <w:t>Vertragsschluss</w:t>
      </w:r>
    </w:p>
    <w:p w14:paraId="4AEED718" w14:textId="77777777" w:rsidR="0096518D" w:rsidRPr="006F09DB" w:rsidRDefault="0096518D" w:rsidP="0096518D">
      <w:pPr>
        <w:numPr>
          <w:ilvl w:val="0"/>
          <w:numId w:val="20"/>
        </w:numPr>
        <w:ind w:left="426"/>
        <w:rPr>
          <w:rFonts w:cs="Arial"/>
          <w:sz w:val="22"/>
          <w:szCs w:val="22"/>
        </w:rPr>
      </w:pPr>
      <w:r w:rsidRPr="006F09DB">
        <w:rPr>
          <w:rFonts w:cs="Arial"/>
          <w:sz w:val="22"/>
          <w:szCs w:val="22"/>
        </w:rPr>
        <w:t xml:space="preserve">Zahlungsbedingungen </w:t>
      </w:r>
    </w:p>
    <w:p w14:paraId="47BE9A25" w14:textId="77777777" w:rsidR="0096518D" w:rsidRPr="006F09DB" w:rsidRDefault="0096518D" w:rsidP="0096518D">
      <w:pPr>
        <w:numPr>
          <w:ilvl w:val="0"/>
          <w:numId w:val="20"/>
        </w:numPr>
        <w:ind w:left="426"/>
        <w:rPr>
          <w:rFonts w:cs="Arial"/>
          <w:sz w:val="22"/>
          <w:szCs w:val="22"/>
        </w:rPr>
      </w:pPr>
      <w:r w:rsidRPr="006F09DB">
        <w:rPr>
          <w:rFonts w:cs="Arial"/>
          <w:sz w:val="22"/>
          <w:szCs w:val="22"/>
        </w:rPr>
        <w:t>Aufrechnung / Zurückbehaltungsrecht</w:t>
      </w:r>
    </w:p>
    <w:p w14:paraId="762C62E4" w14:textId="77777777" w:rsidR="0096518D" w:rsidRPr="006F09DB" w:rsidRDefault="0096518D" w:rsidP="0096518D">
      <w:pPr>
        <w:numPr>
          <w:ilvl w:val="0"/>
          <w:numId w:val="20"/>
        </w:numPr>
        <w:ind w:left="426"/>
        <w:rPr>
          <w:rFonts w:cs="Arial"/>
          <w:sz w:val="22"/>
          <w:szCs w:val="22"/>
        </w:rPr>
      </w:pPr>
      <w:r w:rsidRPr="006F09DB">
        <w:rPr>
          <w:rFonts w:cs="Arial"/>
          <w:sz w:val="22"/>
          <w:szCs w:val="22"/>
        </w:rPr>
        <w:t>Lieferung, Transportgefahr, Liefertermine</w:t>
      </w:r>
    </w:p>
    <w:p w14:paraId="1FDAC2C9" w14:textId="77777777" w:rsidR="0096518D" w:rsidRPr="006F09DB" w:rsidRDefault="0096518D" w:rsidP="0096518D">
      <w:pPr>
        <w:numPr>
          <w:ilvl w:val="0"/>
          <w:numId w:val="20"/>
        </w:numPr>
        <w:ind w:left="426"/>
        <w:rPr>
          <w:rFonts w:cs="Arial"/>
          <w:sz w:val="22"/>
          <w:szCs w:val="22"/>
        </w:rPr>
      </w:pPr>
      <w:r w:rsidRPr="006F09DB">
        <w:rPr>
          <w:rFonts w:cs="Arial"/>
          <w:sz w:val="22"/>
          <w:szCs w:val="22"/>
        </w:rPr>
        <w:t xml:space="preserve">Eigentumsvorbehalt </w:t>
      </w:r>
    </w:p>
    <w:p w14:paraId="266F5989" w14:textId="77777777" w:rsidR="0096518D" w:rsidRDefault="0096518D" w:rsidP="0096518D">
      <w:pPr>
        <w:numPr>
          <w:ilvl w:val="0"/>
          <w:numId w:val="20"/>
        </w:numPr>
        <w:ind w:left="426"/>
        <w:rPr>
          <w:rFonts w:cs="Arial"/>
          <w:sz w:val="22"/>
          <w:szCs w:val="22"/>
        </w:rPr>
      </w:pPr>
      <w:r w:rsidRPr="006F09DB">
        <w:rPr>
          <w:rFonts w:cs="Arial"/>
          <w:sz w:val="22"/>
          <w:szCs w:val="22"/>
        </w:rPr>
        <w:t>Gewährleistung / Reklamation</w:t>
      </w:r>
    </w:p>
    <w:p w14:paraId="18CA9F4F" w14:textId="77777777" w:rsidR="0096518D" w:rsidRPr="006F09DB" w:rsidRDefault="0096518D" w:rsidP="0096518D">
      <w:pPr>
        <w:numPr>
          <w:ilvl w:val="0"/>
          <w:numId w:val="20"/>
        </w:numPr>
        <w:ind w:left="426"/>
        <w:rPr>
          <w:rFonts w:cs="Arial"/>
          <w:sz w:val="22"/>
          <w:szCs w:val="22"/>
        </w:rPr>
      </w:pPr>
      <w:r>
        <w:rPr>
          <w:rFonts w:cs="Arial"/>
          <w:sz w:val="22"/>
          <w:szCs w:val="22"/>
        </w:rPr>
        <w:t>Kommunikation</w:t>
      </w:r>
    </w:p>
    <w:p w14:paraId="304E5891" w14:textId="77777777" w:rsidR="0096518D" w:rsidRPr="006F09DB" w:rsidRDefault="0096518D" w:rsidP="0096518D">
      <w:pPr>
        <w:numPr>
          <w:ilvl w:val="0"/>
          <w:numId w:val="20"/>
        </w:numPr>
        <w:ind w:left="426"/>
        <w:rPr>
          <w:rFonts w:cs="Arial"/>
          <w:sz w:val="22"/>
          <w:szCs w:val="22"/>
        </w:rPr>
      </w:pPr>
      <w:r w:rsidRPr="006F09DB">
        <w:rPr>
          <w:rFonts w:cs="Arial"/>
          <w:sz w:val="22"/>
          <w:szCs w:val="22"/>
        </w:rPr>
        <w:t>Haftung</w:t>
      </w:r>
    </w:p>
    <w:p w14:paraId="48A8755D" w14:textId="77777777" w:rsidR="0096518D" w:rsidRDefault="0096518D" w:rsidP="0096518D">
      <w:pPr>
        <w:numPr>
          <w:ilvl w:val="0"/>
          <w:numId w:val="20"/>
        </w:numPr>
        <w:ind w:left="426"/>
        <w:rPr>
          <w:rFonts w:cs="Arial"/>
          <w:sz w:val="22"/>
          <w:szCs w:val="22"/>
        </w:rPr>
      </w:pPr>
      <w:r>
        <w:rPr>
          <w:rFonts w:cs="Arial"/>
          <w:sz w:val="22"/>
          <w:szCs w:val="22"/>
        </w:rPr>
        <w:t>Vertragssprache</w:t>
      </w:r>
    </w:p>
    <w:p w14:paraId="01AB3D97" w14:textId="77777777" w:rsidR="0096518D" w:rsidRPr="006F09DB" w:rsidRDefault="0096518D" w:rsidP="0096518D">
      <w:pPr>
        <w:numPr>
          <w:ilvl w:val="0"/>
          <w:numId w:val="20"/>
        </w:numPr>
        <w:ind w:left="426"/>
        <w:rPr>
          <w:rFonts w:cs="Arial"/>
          <w:sz w:val="22"/>
          <w:szCs w:val="22"/>
        </w:rPr>
      </w:pPr>
      <w:r w:rsidRPr="006F09DB">
        <w:rPr>
          <w:rFonts w:cs="Arial"/>
          <w:sz w:val="22"/>
          <w:szCs w:val="22"/>
        </w:rPr>
        <w:t xml:space="preserve">Gerichtsstand / Schlussbestimmung </w:t>
      </w:r>
    </w:p>
    <w:p w14:paraId="2166844D" w14:textId="77777777" w:rsidR="0096518D" w:rsidRPr="006F09DB" w:rsidRDefault="0096518D" w:rsidP="0096518D">
      <w:pPr>
        <w:numPr>
          <w:ilvl w:val="0"/>
          <w:numId w:val="20"/>
        </w:numPr>
        <w:ind w:left="426"/>
        <w:rPr>
          <w:rFonts w:cs="Arial"/>
          <w:sz w:val="22"/>
          <w:szCs w:val="22"/>
        </w:rPr>
      </w:pPr>
      <w:r w:rsidRPr="006F09DB">
        <w:rPr>
          <w:rFonts w:cs="Arial"/>
          <w:sz w:val="22"/>
          <w:szCs w:val="22"/>
        </w:rPr>
        <w:t>Mitgeltende Unterlagen</w:t>
      </w:r>
    </w:p>
    <w:p w14:paraId="74EE4B86" w14:textId="77777777" w:rsidR="0096518D" w:rsidRPr="006F09DB" w:rsidRDefault="0096518D" w:rsidP="0096518D">
      <w:pPr>
        <w:rPr>
          <w:rFonts w:cs="Arial"/>
          <w:sz w:val="22"/>
          <w:szCs w:val="22"/>
        </w:rPr>
      </w:pPr>
    </w:p>
    <w:p w14:paraId="74D44472" w14:textId="77777777" w:rsidR="0096518D" w:rsidRPr="006F09DB" w:rsidRDefault="0096518D" w:rsidP="0096518D">
      <w:pPr>
        <w:rPr>
          <w:rFonts w:cs="Arial"/>
          <w:sz w:val="22"/>
          <w:szCs w:val="22"/>
        </w:rPr>
      </w:pPr>
    </w:p>
    <w:p w14:paraId="0E52B17E"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 xml:space="preserve">Geltungsbereich </w:t>
      </w:r>
    </w:p>
    <w:p w14:paraId="156FEDCB" w14:textId="77777777" w:rsidR="0096518D" w:rsidRPr="006F09DB" w:rsidRDefault="0096518D" w:rsidP="0096518D">
      <w:pPr>
        <w:rPr>
          <w:rFonts w:cs="Arial"/>
          <w:sz w:val="22"/>
          <w:szCs w:val="22"/>
        </w:rPr>
      </w:pPr>
    </w:p>
    <w:p w14:paraId="02022F02"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Diese Allgemeinen Geschäftsbedingungen für gewerbliche Kunden (AGB) gelten nur gegenüber Unternehmern, die bei Abschluss des Rechtsgeschäfts in Ausübung ihrer gewerblichen oder selbstständigen beruflichen Tätigkeit handeln, und gegenüber juristischen Personen des öffentlichen Rechts sowie öffentlich-rechtlichen Sondervermögen.</w:t>
      </w:r>
    </w:p>
    <w:p w14:paraId="28D2244A" w14:textId="77777777" w:rsidR="0096518D" w:rsidRPr="006F09DB" w:rsidRDefault="0096518D" w:rsidP="0096518D">
      <w:pPr>
        <w:ind w:left="426"/>
        <w:rPr>
          <w:rFonts w:cs="Arial"/>
          <w:sz w:val="22"/>
          <w:szCs w:val="22"/>
        </w:rPr>
      </w:pPr>
    </w:p>
    <w:p w14:paraId="20C6E615" w14:textId="77777777" w:rsidR="0096518D" w:rsidRPr="006F09DB" w:rsidRDefault="0096518D" w:rsidP="0096518D">
      <w:pPr>
        <w:ind w:left="708"/>
        <w:rPr>
          <w:rFonts w:cs="Arial"/>
          <w:sz w:val="22"/>
          <w:szCs w:val="22"/>
        </w:rPr>
      </w:pPr>
      <w:r w:rsidRPr="006F09DB">
        <w:rPr>
          <w:rFonts w:cs="Arial"/>
          <w:sz w:val="22"/>
          <w:szCs w:val="22"/>
        </w:rPr>
        <w:t xml:space="preserve">Sie gelten für alle Geschäftsabschlüsse zwischen den Kooperationspartnern des Unternehmens (den Herstellern) und den gewerblichen Kunden, unter der Mediation (Vermittlung) durch Gliszen.com, im Folgenden auch das Unternehmen und / oder die Gesellschaft genannt. </w:t>
      </w:r>
    </w:p>
    <w:p w14:paraId="09756AC8" w14:textId="77777777" w:rsidR="0096518D" w:rsidRPr="006F09DB" w:rsidRDefault="0096518D" w:rsidP="0096518D">
      <w:pPr>
        <w:ind w:left="708"/>
        <w:rPr>
          <w:rFonts w:cs="Arial"/>
          <w:sz w:val="22"/>
          <w:szCs w:val="22"/>
        </w:rPr>
      </w:pPr>
    </w:p>
    <w:p w14:paraId="788E2224" w14:textId="77777777" w:rsidR="0096518D" w:rsidRPr="006F09DB" w:rsidRDefault="0096518D" w:rsidP="0096518D">
      <w:pPr>
        <w:ind w:left="708"/>
        <w:rPr>
          <w:rFonts w:cs="Arial"/>
          <w:sz w:val="22"/>
          <w:szCs w:val="22"/>
        </w:rPr>
      </w:pPr>
      <w:r w:rsidRPr="006F09DB">
        <w:rPr>
          <w:rFonts w:cs="Arial"/>
          <w:sz w:val="22"/>
          <w:szCs w:val="22"/>
        </w:rPr>
        <w:t>Das Warenangebot in unserem Online-Shop richtet sich ausschließlich an Endkonsumenten, und dient den gewerblichen Kunden lediglich als Indikator über das gesamte Warensortiment.</w:t>
      </w:r>
    </w:p>
    <w:p w14:paraId="7FC0B4B6" w14:textId="77777777" w:rsidR="0096518D" w:rsidRPr="006F09DB" w:rsidRDefault="0096518D" w:rsidP="0096518D">
      <w:pPr>
        <w:ind w:left="426"/>
        <w:rPr>
          <w:rFonts w:cs="Arial"/>
          <w:sz w:val="22"/>
          <w:szCs w:val="22"/>
        </w:rPr>
      </w:pPr>
    </w:p>
    <w:p w14:paraId="1EE1B137"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Unsere Lieferungen, Leistungen und Angebote erfolgen ausschließlich auf der Grundlage dieser Allgemeinen Geschäftsbedingungen und den hierzu ergänzenden individuellen Vertragsmodalitäten.                                                                                      Die Allgemeinen Geschäftsbedingungen gelten auch für alle künftigen Geschäftsbeziehungen, auch wenn sie nicht nochmals ausdrücklich vereinbart werden.                                                                                                                        Der Einbeziehung von Allgemeinen Geschäftsbedingungen des Kunden, die unseren Allgemeinen Geschäftsbedingungen widersprechen, wird schon jetzt widersprochen.</w:t>
      </w:r>
    </w:p>
    <w:p w14:paraId="535851A3" w14:textId="77777777" w:rsidR="0096518D" w:rsidRPr="006F09DB" w:rsidRDefault="0096518D" w:rsidP="0096518D">
      <w:pPr>
        <w:rPr>
          <w:rFonts w:cs="Arial"/>
          <w:sz w:val="22"/>
          <w:szCs w:val="22"/>
        </w:rPr>
      </w:pPr>
    </w:p>
    <w:p w14:paraId="7E40BF11" w14:textId="77777777" w:rsidR="0096518D" w:rsidRPr="006F09DB" w:rsidRDefault="0096518D" w:rsidP="0096518D">
      <w:pPr>
        <w:rPr>
          <w:rFonts w:cs="Arial"/>
          <w:sz w:val="22"/>
          <w:szCs w:val="22"/>
        </w:rPr>
      </w:pPr>
    </w:p>
    <w:p w14:paraId="14EEDBC0" w14:textId="77777777" w:rsidR="0096518D" w:rsidRPr="006F09DB" w:rsidRDefault="0096518D" w:rsidP="0096518D">
      <w:pPr>
        <w:rPr>
          <w:rFonts w:cs="Arial"/>
          <w:sz w:val="22"/>
          <w:szCs w:val="22"/>
        </w:rPr>
      </w:pPr>
    </w:p>
    <w:p w14:paraId="2A710FDF" w14:textId="77777777" w:rsidR="0096518D" w:rsidRPr="006F09DB" w:rsidRDefault="0096518D" w:rsidP="0096518D">
      <w:pPr>
        <w:rPr>
          <w:rFonts w:cs="Arial"/>
          <w:sz w:val="22"/>
          <w:szCs w:val="22"/>
        </w:rPr>
      </w:pPr>
    </w:p>
    <w:p w14:paraId="4E7A9D8D" w14:textId="77777777" w:rsidR="0096518D" w:rsidRPr="006F09DB" w:rsidRDefault="0096518D" w:rsidP="0096518D">
      <w:pPr>
        <w:rPr>
          <w:rFonts w:cs="Arial"/>
          <w:sz w:val="22"/>
          <w:szCs w:val="22"/>
        </w:rPr>
      </w:pPr>
    </w:p>
    <w:p w14:paraId="50FB0543"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lastRenderedPageBreak/>
        <w:t>Registrierung als gewerblicher Kunde</w:t>
      </w:r>
    </w:p>
    <w:p w14:paraId="4905A96A" w14:textId="77777777" w:rsidR="0096518D" w:rsidRPr="006F09DB" w:rsidRDefault="0096518D" w:rsidP="0096518D">
      <w:pPr>
        <w:ind w:left="426"/>
        <w:rPr>
          <w:rFonts w:cs="Arial"/>
          <w:sz w:val="22"/>
          <w:szCs w:val="22"/>
        </w:rPr>
      </w:pPr>
    </w:p>
    <w:p w14:paraId="79412BAF" w14:textId="77777777" w:rsidR="0096518D" w:rsidRPr="006F09DB" w:rsidRDefault="0096518D" w:rsidP="0096518D">
      <w:pPr>
        <w:ind w:left="426"/>
        <w:rPr>
          <w:rFonts w:cs="Arial"/>
          <w:sz w:val="22"/>
          <w:szCs w:val="22"/>
        </w:rPr>
      </w:pPr>
      <w:r w:rsidRPr="006F09DB">
        <w:rPr>
          <w:rFonts w:cs="Arial"/>
          <w:sz w:val="22"/>
          <w:szCs w:val="22"/>
        </w:rPr>
        <w:t xml:space="preserve">Wie bereits unter 1.1 erwähnt, richtet sich das auf Warenangebot auf Gliszen.com ausschließlich an Endkonsumenten, und dient den gewerblichen Kunden lediglich als Indikator über das gesamte Warensortiment.      </w:t>
      </w:r>
    </w:p>
    <w:p w14:paraId="5435D328" w14:textId="77777777" w:rsidR="0096518D" w:rsidRDefault="0096518D" w:rsidP="0096518D">
      <w:pPr>
        <w:ind w:left="426"/>
        <w:rPr>
          <w:rFonts w:cs="Arial"/>
          <w:sz w:val="22"/>
          <w:szCs w:val="22"/>
        </w:rPr>
      </w:pPr>
      <w:r w:rsidRPr="006F09DB">
        <w:rPr>
          <w:rFonts w:cs="Arial"/>
          <w:sz w:val="22"/>
          <w:szCs w:val="22"/>
        </w:rPr>
        <w:t xml:space="preserve">Eine Registrierung als gewerblicher Kunde ist nicht möglich. </w:t>
      </w:r>
    </w:p>
    <w:p w14:paraId="2FF285AA" w14:textId="77777777" w:rsidR="0096518D" w:rsidRDefault="0096518D" w:rsidP="0096518D">
      <w:pPr>
        <w:ind w:left="426"/>
        <w:rPr>
          <w:rFonts w:cs="Arial"/>
          <w:sz w:val="22"/>
          <w:szCs w:val="22"/>
        </w:rPr>
      </w:pPr>
      <w:r w:rsidRPr="00E40D5C">
        <w:rPr>
          <w:rFonts w:cs="Arial"/>
          <w:sz w:val="22"/>
          <w:szCs w:val="22"/>
        </w:rPr>
        <w:t>Wenn sie regelmäßig Ein</w:t>
      </w:r>
      <w:r>
        <w:rPr>
          <w:rFonts w:cs="Arial"/>
          <w:sz w:val="22"/>
          <w:szCs w:val="22"/>
        </w:rPr>
        <w:t>k</w:t>
      </w:r>
      <w:r w:rsidRPr="00E40D5C">
        <w:rPr>
          <w:rFonts w:cs="Arial"/>
          <w:sz w:val="22"/>
          <w:szCs w:val="22"/>
        </w:rPr>
        <w:t xml:space="preserve">äufe planen, legen wir Ihnen die Registrierung </w:t>
      </w:r>
      <w:r>
        <w:rPr>
          <w:rFonts w:cs="Arial"/>
          <w:sz w:val="22"/>
          <w:szCs w:val="22"/>
        </w:rPr>
        <w:t>als</w:t>
      </w:r>
      <w:r w:rsidRPr="00E40D5C">
        <w:rPr>
          <w:rFonts w:cs="Arial"/>
          <w:sz w:val="22"/>
          <w:szCs w:val="22"/>
        </w:rPr>
        <w:t xml:space="preserve"> Distributoren nahe. </w:t>
      </w:r>
      <w:r w:rsidRPr="006F09DB">
        <w:rPr>
          <w:rFonts w:cs="Arial"/>
          <w:sz w:val="22"/>
          <w:szCs w:val="22"/>
        </w:rPr>
        <w:t xml:space="preserve">    </w:t>
      </w:r>
      <w:r>
        <w:rPr>
          <w:rFonts w:cs="Arial"/>
          <w:sz w:val="22"/>
          <w:szCs w:val="22"/>
        </w:rPr>
        <w:t xml:space="preserve">                                                                                                          </w:t>
      </w:r>
      <w:r w:rsidRPr="006F09DB">
        <w:rPr>
          <w:rFonts w:cs="Arial"/>
          <w:sz w:val="22"/>
          <w:szCs w:val="22"/>
        </w:rPr>
        <w:t xml:space="preserve"> </w:t>
      </w:r>
      <w:r w:rsidRPr="00FF48F6">
        <w:rPr>
          <w:rFonts w:cs="Arial"/>
          <w:sz w:val="22"/>
          <w:szCs w:val="22"/>
        </w:rPr>
        <w:t>In diesen Fällen verliert diese AGB ihre Wirksamkeit, und es tritt Part D dieser AGBs in Kraft</w:t>
      </w:r>
      <w:r w:rsidRPr="006F09DB">
        <w:rPr>
          <w:rFonts w:cs="Arial"/>
          <w:sz w:val="22"/>
          <w:szCs w:val="22"/>
        </w:rPr>
        <w:t xml:space="preserve"> </w:t>
      </w:r>
      <w:bookmarkStart w:id="0" w:name="_Hlk87879052"/>
      <w:r>
        <w:rPr>
          <w:rFonts w:cs="Arial"/>
          <w:sz w:val="22"/>
          <w:szCs w:val="22"/>
        </w:rPr>
        <w:t>(</w:t>
      </w:r>
      <w:r w:rsidRPr="00BF05FF">
        <w:rPr>
          <w:rFonts w:cs="Arial"/>
          <w:i/>
          <w:iCs/>
          <w:color w:val="002060"/>
          <w:sz w:val="22"/>
          <w:szCs w:val="22"/>
          <w:u w:val="single"/>
        </w:rPr>
        <w:t>D. General Terms and Conditions (GTC) for distributors (sales partners</w:t>
      </w:r>
      <w:r w:rsidRPr="00BF05FF">
        <w:rPr>
          <w:rFonts w:cs="Arial"/>
          <w:sz w:val="22"/>
          <w:szCs w:val="22"/>
        </w:rPr>
        <w:t>)</w:t>
      </w:r>
      <w:r>
        <w:rPr>
          <w:rFonts w:cs="Arial"/>
          <w:sz w:val="22"/>
          <w:szCs w:val="22"/>
        </w:rPr>
        <w:t>).</w:t>
      </w:r>
      <w:bookmarkEnd w:id="0"/>
      <w:r w:rsidRPr="006F09DB">
        <w:rPr>
          <w:rFonts w:cs="Arial"/>
          <w:sz w:val="22"/>
          <w:szCs w:val="22"/>
        </w:rPr>
        <w:t xml:space="preserve">                    </w:t>
      </w:r>
    </w:p>
    <w:p w14:paraId="05FEA653" w14:textId="77777777" w:rsidR="0096518D" w:rsidRPr="006F09DB" w:rsidRDefault="0096518D" w:rsidP="0096518D">
      <w:pPr>
        <w:ind w:left="426"/>
        <w:rPr>
          <w:rFonts w:cs="Arial"/>
          <w:sz w:val="22"/>
          <w:szCs w:val="22"/>
        </w:rPr>
      </w:pPr>
      <w:r>
        <w:rPr>
          <w:rFonts w:cs="Arial"/>
          <w:sz w:val="22"/>
          <w:szCs w:val="22"/>
        </w:rPr>
        <w:t>Andernfalls gehen i</w:t>
      </w:r>
      <w:r w:rsidRPr="006F09DB">
        <w:rPr>
          <w:rFonts w:cs="Arial"/>
          <w:sz w:val="22"/>
          <w:szCs w:val="22"/>
        </w:rPr>
        <w:t xml:space="preserve">nteressierte gewerbliche Kunden gehen daher bitte wie folgt vor:   </w:t>
      </w:r>
    </w:p>
    <w:p w14:paraId="153F7048" w14:textId="77777777" w:rsidR="0096518D" w:rsidRPr="006F09DB" w:rsidRDefault="0096518D" w:rsidP="0096518D">
      <w:pPr>
        <w:rPr>
          <w:rFonts w:cs="Arial"/>
          <w:sz w:val="22"/>
          <w:szCs w:val="22"/>
        </w:rPr>
      </w:pPr>
      <w:r w:rsidRPr="006F09DB">
        <w:rPr>
          <w:rFonts w:cs="Arial"/>
          <w:sz w:val="22"/>
          <w:szCs w:val="22"/>
        </w:rPr>
        <w:t xml:space="preserve">                </w:t>
      </w:r>
    </w:p>
    <w:p w14:paraId="3DC3417D"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Als nichtregistrierter Kunde haben Sie die Möglichkeit das komplette Warensortiment, inklusiver aller relevanten Angabe zu den Produkten einzusehen.                                                                                                                  Dies inkludiert ebenso die Produktnummern.</w:t>
      </w:r>
    </w:p>
    <w:p w14:paraId="06B42F42" w14:textId="77777777" w:rsidR="0096518D" w:rsidRPr="006F09DB" w:rsidRDefault="0096518D" w:rsidP="0096518D">
      <w:pPr>
        <w:ind w:left="709"/>
        <w:rPr>
          <w:rFonts w:cs="Arial"/>
          <w:sz w:val="22"/>
          <w:szCs w:val="22"/>
        </w:rPr>
      </w:pPr>
    </w:p>
    <w:p w14:paraId="49859818"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Unter </w:t>
      </w:r>
      <w:hyperlink r:id="rId8" w:history="1">
        <w:r w:rsidRPr="006F09DB">
          <w:rPr>
            <w:rFonts w:cs="Arial"/>
            <w:i/>
            <w:iCs/>
            <w:color w:val="002060"/>
            <w:sz w:val="22"/>
            <w:szCs w:val="22"/>
            <w:u w:val="single"/>
          </w:rPr>
          <w:t>commercial@gliszen.com</w:t>
        </w:r>
      </w:hyperlink>
      <w:r w:rsidRPr="006F09DB">
        <w:rPr>
          <w:rFonts w:cs="Arial"/>
          <w:i/>
          <w:iCs/>
          <w:color w:val="002060"/>
          <w:sz w:val="22"/>
          <w:szCs w:val="22"/>
          <w:u w:val="single"/>
        </w:rPr>
        <w:t xml:space="preserve"> </w:t>
      </w:r>
      <w:r w:rsidRPr="006F09DB">
        <w:rPr>
          <w:rFonts w:cs="Arial"/>
          <w:sz w:val="22"/>
          <w:szCs w:val="22"/>
        </w:rPr>
        <w:t>erreichen Sie unsere unserer Service-Mitarbeiter für den kommerziellen Bereich zu einer ersten Kontaktaufnahme.</w:t>
      </w:r>
    </w:p>
    <w:p w14:paraId="2528B580" w14:textId="77777777" w:rsidR="0096518D" w:rsidRPr="006F09DB" w:rsidRDefault="0096518D" w:rsidP="0096518D">
      <w:pPr>
        <w:ind w:left="720"/>
        <w:contextualSpacing/>
        <w:rPr>
          <w:rFonts w:cs="Arial"/>
          <w:sz w:val="22"/>
          <w:szCs w:val="22"/>
        </w:rPr>
      </w:pPr>
    </w:p>
    <w:p w14:paraId="25C7AEBE"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Sie hängen das Bestellformular </w:t>
      </w:r>
      <w:r>
        <w:rPr>
          <w:rFonts w:cs="Arial"/>
          <w:sz w:val="22"/>
          <w:szCs w:val="22"/>
        </w:rPr>
        <w:t>„</w:t>
      </w:r>
      <w:r w:rsidRPr="00102DB7">
        <w:rPr>
          <w:rFonts w:cs="Arial"/>
          <w:i/>
          <w:iCs/>
          <w:color w:val="002060"/>
          <w:sz w:val="22"/>
          <w:szCs w:val="22"/>
          <w:u w:val="single"/>
        </w:rPr>
        <w:t xml:space="preserve">B2B order </w:t>
      </w:r>
      <w:proofErr w:type="spellStart"/>
      <w:r w:rsidRPr="00102DB7">
        <w:rPr>
          <w:rFonts w:cs="Arial"/>
          <w:i/>
          <w:iCs/>
          <w:color w:val="002060"/>
          <w:sz w:val="22"/>
          <w:szCs w:val="22"/>
          <w:u w:val="single"/>
        </w:rPr>
        <w:t>form</w:t>
      </w:r>
      <w:proofErr w:type="spellEnd"/>
      <w:r>
        <w:rPr>
          <w:rFonts w:cs="Arial"/>
          <w:sz w:val="22"/>
          <w:szCs w:val="22"/>
        </w:rPr>
        <w:t>“</w:t>
      </w:r>
      <w:r w:rsidRPr="006F09DB">
        <w:rPr>
          <w:rFonts w:cs="Arial"/>
          <w:sz w:val="22"/>
          <w:szCs w:val="22"/>
        </w:rPr>
        <w:t xml:space="preserve"> Ihrer E-Mail an.                    </w:t>
      </w:r>
      <w:r>
        <w:rPr>
          <w:rFonts w:cs="Arial"/>
          <w:sz w:val="22"/>
          <w:szCs w:val="22"/>
        </w:rPr>
        <w:t xml:space="preserve">          </w:t>
      </w:r>
      <w:r w:rsidRPr="006F09DB">
        <w:rPr>
          <w:rFonts w:cs="Arial"/>
          <w:sz w:val="22"/>
          <w:szCs w:val="22"/>
        </w:rPr>
        <w:t xml:space="preserve"> Dieses Formular beinhaltet alle erforderlichen Erstinformationen, die wir zur Erstellung eines ersten unverbindlichen Angebotes (Invoice) benötigen. </w:t>
      </w:r>
    </w:p>
    <w:p w14:paraId="78876E2F" w14:textId="77777777" w:rsidR="0096518D" w:rsidRPr="006F09DB" w:rsidRDefault="0096518D" w:rsidP="0096518D">
      <w:pPr>
        <w:ind w:left="720"/>
        <w:contextualSpacing/>
        <w:rPr>
          <w:rFonts w:cs="Arial"/>
          <w:sz w:val="22"/>
          <w:szCs w:val="22"/>
        </w:rPr>
      </w:pPr>
    </w:p>
    <w:p w14:paraId="7E9B05FE"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In der Folge werden dann weitere Vertragsmodalitäten, die nicht in dieser AGB vorformuliert sind, individuell ausgehandelt und schriftlich niedergelegt.</w:t>
      </w:r>
    </w:p>
    <w:p w14:paraId="1C41EA78" w14:textId="77777777" w:rsidR="0096518D" w:rsidRPr="006F09DB" w:rsidRDefault="0096518D" w:rsidP="0096518D">
      <w:pPr>
        <w:rPr>
          <w:rFonts w:cs="Arial"/>
          <w:sz w:val="22"/>
          <w:szCs w:val="22"/>
        </w:rPr>
      </w:pPr>
    </w:p>
    <w:p w14:paraId="27CCC78D" w14:textId="77777777" w:rsidR="0096518D" w:rsidRPr="006F09DB" w:rsidRDefault="0096518D" w:rsidP="0096518D">
      <w:pPr>
        <w:rPr>
          <w:rFonts w:cs="Arial"/>
          <w:sz w:val="22"/>
          <w:szCs w:val="22"/>
        </w:rPr>
      </w:pPr>
    </w:p>
    <w:p w14:paraId="76102A69"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Preise</w:t>
      </w:r>
    </w:p>
    <w:p w14:paraId="6537F534" w14:textId="77777777" w:rsidR="0096518D" w:rsidRPr="006F09DB" w:rsidRDefault="0096518D" w:rsidP="0096518D">
      <w:pPr>
        <w:rPr>
          <w:rFonts w:cs="Arial"/>
          <w:sz w:val="22"/>
          <w:szCs w:val="22"/>
        </w:rPr>
      </w:pPr>
    </w:p>
    <w:p w14:paraId="2EC6BDDC"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Da die Preise auf Gliszen.com an die Endverbraucher adressiert sind, werden wir mit dem Erstangebot (Invoice) für den gewerbetreibenden Kunden auf seine Bedürfnisse angepasste Preise kommunizieren.</w:t>
      </w:r>
    </w:p>
    <w:p w14:paraId="196E5EF7" w14:textId="77777777" w:rsidR="0096518D" w:rsidRPr="006F09DB" w:rsidRDefault="0096518D" w:rsidP="0096518D">
      <w:pPr>
        <w:ind w:left="709"/>
        <w:rPr>
          <w:rFonts w:cs="Arial"/>
          <w:sz w:val="22"/>
          <w:szCs w:val="22"/>
        </w:rPr>
      </w:pPr>
    </w:p>
    <w:p w14:paraId="3A3DEC7E"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Die Grad der Anpassung richtet sich nach den folgenden Kriterien.</w:t>
      </w:r>
    </w:p>
    <w:p w14:paraId="74A6718A" w14:textId="77777777" w:rsidR="0096518D" w:rsidRPr="006F09DB" w:rsidRDefault="0096518D" w:rsidP="0096518D">
      <w:pPr>
        <w:rPr>
          <w:rFonts w:cs="Arial"/>
          <w:sz w:val="22"/>
          <w:szCs w:val="22"/>
        </w:rPr>
      </w:pPr>
    </w:p>
    <w:p w14:paraId="305EBE2F" w14:textId="77777777" w:rsidR="0096518D" w:rsidRPr="006F09DB" w:rsidRDefault="0096518D" w:rsidP="0096518D">
      <w:pPr>
        <w:numPr>
          <w:ilvl w:val="2"/>
          <w:numId w:val="19"/>
        </w:numPr>
        <w:ind w:hanging="645"/>
        <w:rPr>
          <w:rFonts w:cs="Arial"/>
          <w:sz w:val="22"/>
          <w:szCs w:val="22"/>
        </w:rPr>
      </w:pPr>
      <w:r w:rsidRPr="006F09DB">
        <w:rPr>
          <w:rFonts w:cs="Arial"/>
          <w:sz w:val="22"/>
          <w:szCs w:val="22"/>
        </w:rPr>
        <w:t>Status des Kunden</w:t>
      </w:r>
    </w:p>
    <w:p w14:paraId="3DB2DF13" w14:textId="77777777" w:rsidR="0096518D" w:rsidRPr="006F09DB" w:rsidRDefault="0096518D" w:rsidP="0096518D">
      <w:pPr>
        <w:ind w:left="1212"/>
        <w:rPr>
          <w:rFonts w:cs="Arial"/>
          <w:sz w:val="22"/>
          <w:szCs w:val="22"/>
        </w:rPr>
      </w:pPr>
    </w:p>
    <w:p w14:paraId="1224B91E" w14:textId="77777777" w:rsidR="0096518D" w:rsidRPr="006F09DB" w:rsidRDefault="0096518D" w:rsidP="0096518D">
      <w:pPr>
        <w:numPr>
          <w:ilvl w:val="2"/>
          <w:numId w:val="19"/>
        </w:numPr>
        <w:ind w:hanging="645"/>
        <w:rPr>
          <w:rFonts w:cs="Arial"/>
          <w:sz w:val="22"/>
          <w:szCs w:val="22"/>
        </w:rPr>
      </w:pPr>
      <w:r w:rsidRPr="006F09DB">
        <w:rPr>
          <w:rFonts w:cs="Arial"/>
          <w:sz w:val="22"/>
          <w:szCs w:val="22"/>
        </w:rPr>
        <w:t>Auftragsvolumen</w:t>
      </w:r>
    </w:p>
    <w:p w14:paraId="25DE65E1" w14:textId="77777777" w:rsidR="0096518D" w:rsidRPr="006F09DB" w:rsidRDefault="0096518D" w:rsidP="0096518D">
      <w:pPr>
        <w:rPr>
          <w:rFonts w:cs="Arial"/>
          <w:sz w:val="22"/>
          <w:szCs w:val="22"/>
        </w:rPr>
      </w:pPr>
    </w:p>
    <w:p w14:paraId="5FF72222"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Unsere Preise an den gewerblichen Kunden sind stets als Netto-Preise zu verstehen.</w:t>
      </w:r>
    </w:p>
    <w:p w14:paraId="26E55170" w14:textId="77777777" w:rsidR="0096518D" w:rsidRPr="006F09DB" w:rsidRDefault="0096518D" w:rsidP="0096518D">
      <w:pPr>
        <w:ind w:left="709"/>
        <w:rPr>
          <w:rFonts w:cs="Arial"/>
          <w:sz w:val="22"/>
          <w:szCs w:val="22"/>
        </w:rPr>
      </w:pPr>
    </w:p>
    <w:p w14:paraId="4671FC6B"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Alle Preise verstehen sich als EXW – Preise (Ex Works/Ab Werk), sofern nichts anderes vertraglich vereinbart wurde, und weitere Kosten gemäß den unter Kapitel 8 definierten Liefermodalitäten sind zu berücksichtigen.                                       </w:t>
      </w:r>
    </w:p>
    <w:p w14:paraId="1DED80B2" w14:textId="77777777" w:rsidR="0096518D" w:rsidRDefault="0096518D" w:rsidP="0096518D">
      <w:pPr>
        <w:rPr>
          <w:rFonts w:cs="Arial"/>
          <w:sz w:val="22"/>
          <w:szCs w:val="22"/>
        </w:rPr>
      </w:pPr>
    </w:p>
    <w:p w14:paraId="3B6EEEC0" w14:textId="77777777" w:rsidR="0096518D" w:rsidRDefault="0096518D" w:rsidP="0096518D">
      <w:pPr>
        <w:rPr>
          <w:rFonts w:cs="Arial"/>
          <w:sz w:val="22"/>
          <w:szCs w:val="22"/>
        </w:rPr>
      </w:pPr>
    </w:p>
    <w:p w14:paraId="29CA1D88" w14:textId="77777777" w:rsidR="0096518D" w:rsidRDefault="0096518D" w:rsidP="0096518D">
      <w:pPr>
        <w:rPr>
          <w:rFonts w:cs="Arial"/>
          <w:sz w:val="22"/>
          <w:szCs w:val="22"/>
        </w:rPr>
      </w:pPr>
    </w:p>
    <w:p w14:paraId="49DBC5D2" w14:textId="77777777" w:rsidR="0096518D" w:rsidRDefault="0096518D" w:rsidP="0096518D">
      <w:pPr>
        <w:rPr>
          <w:rFonts w:cs="Arial"/>
          <w:sz w:val="22"/>
          <w:szCs w:val="22"/>
        </w:rPr>
      </w:pPr>
    </w:p>
    <w:p w14:paraId="0F40D3D9" w14:textId="77777777" w:rsidR="0096518D" w:rsidRPr="006F09DB" w:rsidRDefault="0096518D" w:rsidP="0096518D">
      <w:pPr>
        <w:rPr>
          <w:rFonts w:cs="Arial"/>
          <w:sz w:val="22"/>
          <w:szCs w:val="22"/>
        </w:rPr>
      </w:pPr>
    </w:p>
    <w:p w14:paraId="450BD50B" w14:textId="77777777" w:rsidR="0096518D" w:rsidRPr="006F09DB" w:rsidRDefault="0096518D" w:rsidP="0096518D">
      <w:pPr>
        <w:rPr>
          <w:rFonts w:cs="Arial"/>
          <w:sz w:val="22"/>
          <w:szCs w:val="22"/>
        </w:rPr>
      </w:pPr>
    </w:p>
    <w:p w14:paraId="71F8DD16"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lastRenderedPageBreak/>
        <w:t>Vertragspartner</w:t>
      </w:r>
    </w:p>
    <w:p w14:paraId="734689E1" w14:textId="77777777" w:rsidR="0096518D" w:rsidRPr="006F09DB" w:rsidRDefault="0096518D" w:rsidP="0096518D">
      <w:pPr>
        <w:rPr>
          <w:rFonts w:cs="Arial"/>
          <w:sz w:val="22"/>
          <w:szCs w:val="22"/>
        </w:rPr>
      </w:pPr>
    </w:p>
    <w:p w14:paraId="7424645C" w14:textId="77777777" w:rsidR="0096518D" w:rsidRPr="006F09DB" w:rsidRDefault="0096518D" w:rsidP="0096518D">
      <w:pPr>
        <w:ind w:left="426"/>
        <w:rPr>
          <w:rFonts w:cs="Arial"/>
          <w:sz w:val="22"/>
          <w:szCs w:val="22"/>
        </w:rPr>
      </w:pPr>
      <w:r w:rsidRPr="006F09DB">
        <w:rPr>
          <w:rFonts w:cs="Arial"/>
          <w:sz w:val="22"/>
          <w:szCs w:val="22"/>
        </w:rPr>
        <w:t>Ein einmaliger Vermittlungsvertrag kommt zwischen dem Kunden und der Gliszen.com, vertreten durch</w:t>
      </w:r>
    </w:p>
    <w:p w14:paraId="332B25B8" w14:textId="77777777" w:rsidR="0096518D" w:rsidRPr="006F09DB" w:rsidRDefault="0096518D" w:rsidP="0096518D">
      <w:pPr>
        <w:ind w:left="426"/>
        <w:rPr>
          <w:rFonts w:cs="Arial"/>
          <w:sz w:val="22"/>
          <w:szCs w:val="22"/>
        </w:rPr>
      </w:pPr>
    </w:p>
    <w:p w14:paraId="1952C6E8" w14:textId="77777777" w:rsidR="0096518D" w:rsidRPr="006F09DB" w:rsidRDefault="0096518D" w:rsidP="0096518D">
      <w:pPr>
        <w:ind w:left="426"/>
        <w:rPr>
          <w:rFonts w:cs="Arial"/>
          <w:sz w:val="22"/>
          <w:szCs w:val="22"/>
          <w:lang w:val="en-GB"/>
        </w:rPr>
      </w:pPr>
      <w:r w:rsidRPr="006F09DB">
        <w:rPr>
          <w:rFonts w:cs="Arial"/>
          <w:sz w:val="22"/>
          <w:szCs w:val="22"/>
          <w:lang w:val="en-GB"/>
        </w:rPr>
        <w:t xml:space="preserve">Jaikaski, Inhaber: Kimberley Sacha-Gaye Walters, 13 Lissant Road, Kingston CSO, Kingston W. I. Jamaika, Registered at Companies Office of Jamaica - Registration no: 4131/2021, TRN no: 122324595/1 - +1876 421-2979 / </w:t>
      </w:r>
      <w:hyperlink r:id="rId9" w:history="1">
        <w:r w:rsidRPr="006F09DB">
          <w:rPr>
            <w:rFonts w:cs="Arial"/>
            <w:i/>
            <w:iCs/>
            <w:color w:val="002060"/>
            <w:sz w:val="22"/>
            <w:szCs w:val="22"/>
            <w:u w:val="single"/>
            <w:lang w:val="en-GB"/>
          </w:rPr>
          <w:t>k-walters@gliszen.com</w:t>
        </w:r>
      </w:hyperlink>
      <w:r w:rsidRPr="006F09DB">
        <w:rPr>
          <w:rFonts w:cs="Arial"/>
          <w:i/>
          <w:iCs/>
          <w:color w:val="002060"/>
          <w:sz w:val="22"/>
          <w:szCs w:val="22"/>
          <w:u w:val="single"/>
          <w:lang w:val="en-GB"/>
        </w:rPr>
        <w:t xml:space="preserve"> </w:t>
      </w:r>
      <w:r w:rsidRPr="006F09DB">
        <w:rPr>
          <w:rFonts w:cs="Arial"/>
          <w:sz w:val="22"/>
          <w:szCs w:val="22"/>
          <w:lang w:val="en-GB"/>
        </w:rPr>
        <w:t xml:space="preserve"> -  </w:t>
      </w:r>
    </w:p>
    <w:p w14:paraId="17A57B90" w14:textId="77777777" w:rsidR="0096518D" w:rsidRPr="006F09DB" w:rsidRDefault="0096518D" w:rsidP="0096518D">
      <w:pPr>
        <w:ind w:left="426"/>
        <w:rPr>
          <w:rFonts w:cs="Arial"/>
          <w:sz w:val="22"/>
          <w:szCs w:val="22"/>
          <w:lang w:val="en-GB"/>
        </w:rPr>
      </w:pPr>
      <w:r w:rsidRPr="006F09DB">
        <w:rPr>
          <w:rFonts w:cs="Arial"/>
          <w:sz w:val="22"/>
          <w:szCs w:val="22"/>
          <w:lang w:val="en-GB"/>
        </w:rPr>
        <w:t>und / oder</w:t>
      </w:r>
    </w:p>
    <w:p w14:paraId="42820F84" w14:textId="77777777" w:rsidR="0096518D" w:rsidRPr="006F09DB" w:rsidRDefault="0096518D" w:rsidP="0096518D">
      <w:pPr>
        <w:ind w:left="426"/>
        <w:rPr>
          <w:rFonts w:cs="Arial"/>
          <w:sz w:val="22"/>
          <w:szCs w:val="22"/>
          <w:lang w:val="en-GB"/>
        </w:rPr>
      </w:pPr>
    </w:p>
    <w:p w14:paraId="129A0A61" w14:textId="67A287DE" w:rsidR="0096518D" w:rsidRPr="006F09DB" w:rsidRDefault="00DD71F7" w:rsidP="0096518D">
      <w:pPr>
        <w:ind w:left="426"/>
        <w:rPr>
          <w:rFonts w:cs="Arial"/>
          <w:sz w:val="22"/>
          <w:szCs w:val="22"/>
          <w:lang w:val="en-GB"/>
        </w:rPr>
      </w:pPr>
      <w:r w:rsidRPr="00DD71F7">
        <w:rPr>
          <w:rFonts w:cs="Arial"/>
          <w:sz w:val="22"/>
          <w:szCs w:val="22"/>
          <w:lang w:val="en-GB"/>
        </w:rPr>
        <w:t>Guangzhou Gliszen Technology Co., Ltd 1609, Building 3, No. 288, South Shixing Dadao Road, Shibi Street, Panyu District, Guangzhou City, Guangdong, 510630 China - Registered at the Guangdong Provincial Government of P.R. China - Registration no: 91440101MA9Y5WUU5 G</w:t>
      </w:r>
      <w:r w:rsidR="0096518D" w:rsidRPr="006F09DB">
        <w:rPr>
          <w:rFonts w:cs="Arial"/>
          <w:sz w:val="22"/>
          <w:szCs w:val="22"/>
          <w:lang w:val="en-GB"/>
        </w:rPr>
        <w:t xml:space="preserve"> – +49 178 28812-66/ </w:t>
      </w:r>
      <w:hyperlink r:id="rId10" w:history="1">
        <w:r w:rsidR="0096518D" w:rsidRPr="006F09DB">
          <w:rPr>
            <w:rFonts w:cs="Arial"/>
            <w:i/>
            <w:iCs/>
            <w:color w:val="002060"/>
            <w:sz w:val="22"/>
            <w:szCs w:val="22"/>
            <w:u w:val="single"/>
            <w:lang w:val="en-GB"/>
          </w:rPr>
          <w:t>f-jarrar@gliszen.com</w:t>
        </w:r>
      </w:hyperlink>
      <w:r w:rsidR="0096518D" w:rsidRPr="006F09DB">
        <w:rPr>
          <w:rFonts w:cs="Arial"/>
          <w:sz w:val="22"/>
          <w:szCs w:val="22"/>
          <w:lang w:val="en-GB"/>
        </w:rPr>
        <w:t xml:space="preserve">. </w:t>
      </w:r>
    </w:p>
    <w:p w14:paraId="3A8CF365" w14:textId="77777777" w:rsidR="0096518D" w:rsidRPr="006F09DB" w:rsidRDefault="0096518D" w:rsidP="0096518D">
      <w:pPr>
        <w:ind w:left="426"/>
        <w:rPr>
          <w:rFonts w:cs="Arial"/>
          <w:sz w:val="22"/>
          <w:szCs w:val="22"/>
          <w:lang w:val="en-GB"/>
        </w:rPr>
      </w:pPr>
    </w:p>
    <w:p w14:paraId="4C624075" w14:textId="77777777" w:rsidR="0096518D" w:rsidRPr="006F09DB" w:rsidRDefault="0096518D" w:rsidP="0096518D">
      <w:pPr>
        <w:ind w:left="426"/>
        <w:rPr>
          <w:rFonts w:cs="Arial"/>
          <w:sz w:val="22"/>
          <w:szCs w:val="22"/>
        </w:rPr>
      </w:pPr>
      <w:r w:rsidRPr="006F09DB">
        <w:rPr>
          <w:rFonts w:cs="Arial"/>
          <w:sz w:val="22"/>
          <w:szCs w:val="22"/>
        </w:rPr>
        <w:t>zustande, der wiederum die Gesellschaft ermächtigt, den Kaufvertrag für den Kunden mit den Kooperationspartnern der Gesellschaft unter Wahrung seiner Rechte als gewerbetreibender Kunde und / oder juristischen Personen des öffentlichen Rechts sowie öffentlich-rechtlichen Sondervermögen, abzuschließen.</w:t>
      </w:r>
    </w:p>
    <w:p w14:paraId="704FAF61" w14:textId="77777777" w:rsidR="0096518D" w:rsidRPr="006F09DB" w:rsidRDefault="0096518D" w:rsidP="0096518D">
      <w:pPr>
        <w:ind w:left="426"/>
        <w:rPr>
          <w:rFonts w:cs="Arial"/>
          <w:sz w:val="22"/>
          <w:szCs w:val="22"/>
        </w:rPr>
      </w:pPr>
      <w:r w:rsidRPr="006F09DB">
        <w:rPr>
          <w:rFonts w:cs="Arial"/>
          <w:sz w:val="22"/>
          <w:szCs w:val="22"/>
        </w:rPr>
        <w:t>Dieser Vertrag gilt mit der erfolgreichen Übergabe der Versand- / Lieferpapiere an den Kunden, und / oder dessen beauftragten Frachtführer / Importeur, und / oder einer weiteren von ihm benannten dritten Partei, als erfüllt, sofern nichts anders vereinbart wurde.</w:t>
      </w:r>
    </w:p>
    <w:p w14:paraId="3C080523" w14:textId="77777777" w:rsidR="0096518D" w:rsidRPr="006F09DB" w:rsidRDefault="0096518D" w:rsidP="0096518D">
      <w:pPr>
        <w:ind w:left="426"/>
        <w:rPr>
          <w:rFonts w:cs="Arial"/>
          <w:sz w:val="22"/>
          <w:szCs w:val="22"/>
        </w:rPr>
      </w:pPr>
    </w:p>
    <w:p w14:paraId="1AB9F4F2" w14:textId="77777777" w:rsidR="0096518D" w:rsidRPr="006F09DB" w:rsidRDefault="0096518D" w:rsidP="0096518D">
      <w:pPr>
        <w:ind w:left="426"/>
        <w:rPr>
          <w:rFonts w:cs="Arial"/>
          <w:sz w:val="22"/>
          <w:szCs w:val="22"/>
        </w:rPr>
      </w:pPr>
      <w:r w:rsidRPr="006F09DB">
        <w:rPr>
          <w:rFonts w:cs="Arial"/>
          <w:sz w:val="22"/>
          <w:szCs w:val="22"/>
        </w:rPr>
        <w:t>Das Recht auf Gewährleistung bleibt von dieser Bestimmung unberührt.</w:t>
      </w:r>
    </w:p>
    <w:p w14:paraId="6AF6AA99" w14:textId="77777777" w:rsidR="0096518D" w:rsidRPr="006F09DB" w:rsidRDefault="0096518D" w:rsidP="0096518D">
      <w:pPr>
        <w:rPr>
          <w:rFonts w:cs="Arial"/>
          <w:sz w:val="22"/>
          <w:szCs w:val="22"/>
        </w:rPr>
      </w:pPr>
    </w:p>
    <w:p w14:paraId="13FBA2C0" w14:textId="77777777" w:rsidR="0096518D" w:rsidRPr="006F09DB" w:rsidRDefault="0096518D" w:rsidP="0096518D">
      <w:pPr>
        <w:rPr>
          <w:rFonts w:cs="Arial"/>
          <w:sz w:val="22"/>
          <w:szCs w:val="22"/>
        </w:rPr>
      </w:pPr>
    </w:p>
    <w:p w14:paraId="379F5A45"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 xml:space="preserve">Vertragsschluss </w:t>
      </w:r>
    </w:p>
    <w:p w14:paraId="7756DD95" w14:textId="77777777" w:rsidR="0096518D" w:rsidRPr="006F09DB" w:rsidRDefault="0096518D" w:rsidP="0096518D">
      <w:pPr>
        <w:rPr>
          <w:rFonts w:cs="Arial"/>
          <w:sz w:val="22"/>
          <w:szCs w:val="22"/>
        </w:rPr>
      </w:pPr>
    </w:p>
    <w:p w14:paraId="5A7F9922" w14:textId="77777777" w:rsidR="0096518D" w:rsidRPr="006F09DB" w:rsidRDefault="0096518D" w:rsidP="0096518D">
      <w:pPr>
        <w:ind w:left="426"/>
        <w:rPr>
          <w:rFonts w:cs="Arial"/>
          <w:sz w:val="22"/>
          <w:szCs w:val="22"/>
        </w:rPr>
      </w:pPr>
      <w:r w:rsidRPr="006F09DB">
        <w:rPr>
          <w:rFonts w:cs="Arial"/>
          <w:sz w:val="22"/>
          <w:szCs w:val="22"/>
        </w:rPr>
        <w:t>Sollte der Kunde mit dem unter den Kapiteln 2.3 und 3.1 erwähnten Angeboten akzeptieren, so wird ihm Gliszen.com ein Vermittlungsvertrag</w:t>
      </w:r>
      <w:r>
        <w:rPr>
          <w:rFonts w:cs="Arial"/>
          <w:sz w:val="22"/>
          <w:szCs w:val="22"/>
        </w:rPr>
        <w:t xml:space="preserve"> und ein Angebot</w:t>
      </w:r>
      <w:r w:rsidRPr="006F09DB">
        <w:rPr>
          <w:rFonts w:cs="Arial"/>
          <w:sz w:val="22"/>
          <w:szCs w:val="22"/>
        </w:rPr>
        <w:t xml:space="preserve"> zusenden, welche die Rahmenbedingungen des Vertrages umschreib</w:t>
      </w:r>
      <w:r>
        <w:rPr>
          <w:rFonts w:cs="Arial"/>
          <w:sz w:val="22"/>
          <w:szCs w:val="22"/>
        </w:rPr>
        <w:t>en</w:t>
      </w:r>
      <w:r w:rsidRPr="006F09DB">
        <w:rPr>
          <w:rFonts w:cs="Arial"/>
          <w:sz w:val="22"/>
          <w:szCs w:val="22"/>
        </w:rPr>
        <w:t>, die diese Bestimmungen ergänzen und oder ersetzen.</w:t>
      </w:r>
    </w:p>
    <w:p w14:paraId="6C229EDE" w14:textId="77777777" w:rsidR="0096518D" w:rsidRPr="006F09DB" w:rsidRDefault="0096518D" w:rsidP="0096518D">
      <w:pPr>
        <w:ind w:left="426"/>
        <w:rPr>
          <w:rFonts w:cs="Arial"/>
          <w:sz w:val="22"/>
          <w:szCs w:val="22"/>
        </w:rPr>
      </w:pPr>
      <w:r w:rsidRPr="006F09DB">
        <w:rPr>
          <w:rFonts w:cs="Arial"/>
          <w:sz w:val="22"/>
          <w:szCs w:val="22"/>
        </w:rPr>
        <w:t xml:space="preserve">Stehen Bestimmungen des Vertrages </w:t>
      </w:r>
      <w:r>
        <w:rPr>
          <w:rFonts w:cs="Arial"/>
          <w:sz w:val="22"/>
          <w:szCs w:val="22"/>
        </w:rPr>
        <w:t xml:space="preserve">und / oder des Angebotes </w:t>
      </w:r>
      <w:r w:rsidRPr="006F09DB">
        <w:rPr>
          <w:rFonts w:cs="Arial"/>
          <w:sz w:val="22"/>
          <w:szCs w:val="22"/>
        </w:rPr>
        <w:t xml:space="preserve">im Konflikt zu Bestimmungen dieser unter Kapitel B definierten AGB, so gelten die Bestimmungen im Vertrag </w:t>
      </w:r>
      <w:r>
        <w:rPr>
          <w:rFonts w:cs="Arial"/>
          <w:sz w:val="22"/>
          <w:szCs w:val="22"/>
        </w:rPr>
        <w:t xml:space="preserve">und / oder im Angebot </w:t>
      </w:r>
      <w:r w:rsidRPr="006F09DB">
        <w:rPr>
          <w:rFonts w:cs="Arial"/>
          <w:sz w:val="22"/>
          <w:szCs w:val="22"/>
        </w:rPr>
        <w:t xml:space="preserve">als maßgeblich und bindend. </w:t>
      </w:r>
    </w:p>
    <w:p w14:paraId="07358B9C" w14:textId="77777777" w:rsidR="0096518D" w:rsidRPr="006F09DB" w:rsidRDefault="0096518D" w:rsidP="0096518D">
      <w:pPr>
        <w:rPr>
          <w:rFonts w:cs="Arial"/>
          <w:sz w:val="22"/>
          <w:szCs w:val="22"/>
        </w:rPr>
      </w:pPr>
    </w:p>
    <w:p w14:paraId="2C3994F3" w14:textId="77777777" w:rsidR="0096518D" w:rsidRPr="006F09DB" w:rsidRDefault="0096518D" w:rsidP="0096518D">
      <w:pPr>
        <w:rPr>
          <w:rFonts w:cs="Arial"/>
          <w:sz w:val="22"/>
          <w:szCs w:val="22"/>
        </w:rPr>
      </w:pPr>
    </w:p>
    <w:p w14:paraId="3813E760"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Zahlungsbedingungen</w:t>
      </w:r>
    </w:p>
    <w:p w14:paraId="6EA01115" w14:textId="77777777" w:rsidR="0096518D" w:rsidRPr="006F09DB" w:rsidRDefault="0096518D" w:rsidP="0096518D">
      <w:pPr>
        <w:rPr>
          <w:rFonts w:cs="Arial"/>
          <w:sz w:val="22"/>
          <w:szCs w:val="22"/>
        </w:rPr>
      </w:pPr>
    </w:p>
    <w:p w14:paraId="0DBC5036" w14:textId="77777777" w:rsidR="0096518D" w:rsidRPr="006F09DB" w:rsidRDefault="0096518D" w:rsidP="0096518D">
      <w:pPr>
        <w:ind w:left="426"/>
        <w:rPr>
          <w:rFonts w:cs="Arial"/>
          <w:sz w:val="22"/>
          <w:szCs w:val="22"/>
        </w:rPr>
      </w:pPr>
      <w:r w:rsidRPr="006F09DB">
        <w:rPr>
          <w:rFonts w:cs="Arial"/>
          <w:sz w:val="22"/>
          <w:szCs w:val="22"/>
        </w:rPr>
        <w:t xml:space="preserve">Giszen.com und seine Kooperationspartner bieten ihrer Klientel, losgelöst ob B2B oder B2C Kundschaft, verschiedene Zahlungsmethoden an.  </w:t>
      </w:r>
    </w:p>
    <w:p w14:paraId="0C5DEB95" w14:textId="77777777" w:rsidR="0096518D" w:rsidRPr="006F09DB" w:rsidRDefault="0096518D" w:rsidP="0096518D">
      <w:pPr>
        <w:ind w:left="426"/>
        <w:rPr>
          <w:rFonts w:cs="Arial"/>
          <w:sz w:val="22"/>
          <w:szCs w:val="22"/>
        </w:rPr>
      </w:pPr>
    </w:p>
    <w:p w14:paraId="0A235CF1" w14:textId="77777777" w:rsidR="0096518D" w:rsidRPr="006F09DB" w:rsidRDefault="0096518D" w:rsidP="0096518D">
      <w:pPr>
        <w:ind w:left="426"/>
        <w:rPr>
          <w:rFonts w:cs="Arial"/>
          <w:sz w:val="22"/>
          <w:szCs w:val="22"/>
        </w:rPr>
      </w:pPr>
      <w:r w:rsidRPr="006F09DB">
        <w:rPr>
          <w:rFonts w:cs="Arial"/>
          <w:sz w:val="22"/>
          <w:szCs w:val="22"/>
        </w:rPr>
        <w:t>So sind Zahlungen per Banktransfer und Kreditkarte ebenso standardisiert als auch die Zahlungen über diverse Online-Bezahldienste wie beispielsweise PayPal.</w:t>
      </w:r>
    </w:p>
    <w:p w14:paraId="09B14AAB" w14:textId="77777777" w:rsidR="0096518D" w:rsidRPr="006F09DB" w:rsidRDefault="0096518D" w:rsidP="0096518D">
      <w:pPr>
        <w:ind w:left="426"/>
        <w:rPr>
          <w:rFonts w:cs="Arial"/>
          <w:sz w:val="22"/>
          <w:szCs w:val="22"/>
        </w:rPr>
      </w:pPr>
    </w:p>
    <w:p w14:paraId="718A2FAD" w14:textId="77777777" w:rsidR="0096518D" w:rsidRPr="006F09DB" w:rsidRDefault="0096518D" w:rsidP="0096518D">
      <w:pPr>
        <w:ind w:left="426"/>
        <w:rPr>
          <w:rFonts w:cs="Arial"/>
          <w:sz w:val="22"/>
          <w:szCs w:val="22"/>
        </w:rPr>
      </w:pPr>
      <w:r w:rsidRPr="006F09DB">
        <w:rPr>
          <w:rFonts w:cs="Arial"/>
          <w:sz w:val="22"/>
          <w:szCs w:val="22"/>
        </w:rPr>
        <w:t>Unsere Zahlungsbedingungen gelten, ferner nichts anderes vertraglich vereinbart wurde, wie folgt:</w:t>
      </w:r>
    </w:p>
    <w:p w14:paraId="5D53EA78" w14:textId="77777777" w:rsidR="0096518D" w:rsidRDefault="0096518D" w:rsidP="0096518D">
      <w:pPr>
        <w:rPr>
          <w:rFonts w:cs="Arial"/>
          <w:sz w:val="22"/>
          <w:szCs w:val="22"/>
        </w:rPr>
      </w:pPr>
    </w:p>
    <w:p w14:paraId="7756E9B6" w14:textId="77777777" w:rsidR="0096518D" w:rsidRPr="006F09DB" w:rsidRDefault="0096518D" w:rsidP="0096518D">
      <w:pPr>
        <w:rPr>
          <w:rFonts w:cs="Arial"/>
          <w:sz w:val="22"/>
          <w:szCs w:val="22"/>
        </w:rPr>
      </w:pPr>
    </w:p>
    <w:p w14:paraId="5C50EF70"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lastRenderedPageBreak/>
        <w:t xml:space="preserve">Bei Vertragsabschluss sind 50% der im Vertrag bezifferten Kosten zu zahlen. </w:t>
      </w:r>
    </w:p>
    <w:p w14:paraId="27FE9380" w14:textId="77777777" w:rsidR="0096518D" w:rsidRPr="006F09DB" w:rsidRDefault="0096518D" w:rsidP="0096518D">
      <w:pPr>
        <w:ind w:left="709"/>
        <w:rPr>
          <w:rFonts w:cs="Arial"/>
          <w:sz w:val="22"/>
          <w:szCs w:val="22"/>
        </w:rPr>
      </w:pPr>
    </w:p>
    <w:p w14:paraId="6C6D59FB"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Sollte nach Vertragsschluss die unter 6.1 definierte Vorauszahlung nicht binnen einer Woche vollzogen werden, so steht es Gliszen.com und seinen Kooperationspartnern frei mit sofortiger Wirkung vom Vertrag zurückzutreten.                                             Hierzu bedarf es keiner Ankündigung seitens des Unternehmens. </w:t>
      </w:r>
    </w:p>
    <w:p w14:paraId="3A21F323" w14:textId="77777777" w:rsidR="0096518D" w:rsidRPr="006F09DB" w:rsidRDefault="0096518D" w:rsidP="0096518D">
      <w:pPr>
        <w:ind w:left="720"/>
        <w:contextualSpacing/>
        <w:rPr>
          <w:rFonts w:cs="Arial"/>
          <w:sz w:val="22"/>
          <w:szCs w:val="22"/>
        </w:rPr>
      </w:pPr>
    </w:p>
    <w:p w14:paraId="4379506B"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Die Restzahlung von weiteren 50 % sind nach erfolgter Versandbereitstellung (Kommissionierung) der Ware, jedoch vor ihrer Auslieferung zu tätigen. Im Gegenzug erhält der Kunde, und / oder dessen beauftragter Frachtführer / Importeur, und / oder eine andere von ihm benannte dritte Partei die Versanddokumente.</w:t>
      </w:r>
    </w:p>
    <w:p w14:paraId="200EF662" w14:textId="77777777" w:rsidR="0096518D" w:rsidRPr="006F09DB" w:rsidRDefault="0096518D" w:rsidP="0096518D">
      <w:pPr>
        <w:rPr>
          <w:rFonts w:cs="Arial"/>
          <w:sz w:val="22"/>
          <w:szCs w:val="22"/>
        </w:rPr>
      </w:pPr>
    </w:p>
    <w:p w14:paraId="790EDB73"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Die unter dem Kapiteln 6.3 definierte Restzahlung hat unmittelbar zu erfolgen und muss innerhalb einer angemessenen Frist vollzogen sein.                                                                                              Das Unternehmen und seine Kooperationspartner bewahren sich das Recht auf gegebenenfalls die Ware bis zur erfolgten Tilgung der Restforderung einzubehalten, und gegebenenfalls eine Aufwandsentschädigung für geleistete Arbeit einfordern, sollte der Kunde nach der Versandbereitstellung (Kommissionierung) der Ware vom Vertrag zurücktreten wollen.                                                                                                        Ob und in welcher Höhe eine solche Aufwandsentschädigung beansprucht wird, wird im Einzelfall entschieden. </w:t>
      </w:r>
    </w:p>
    <w:p w14:paraId="4A05C06A" w14:textId="77777777" w:rsidR="0096518D" w:rsidRPr="006F09DB" w:rsidRDefault="0096518D" w:rsidP="0096518D">
      <w:pPr>
        <w:ind w:left="720"/>
        <w:contextualSpacing/>
        <w:rPr>
          <w:rFonts w:cs="Arial"/>
          <w:sz w:val="22"/>
          <w:szCs w:val="22"/>
        </w:rPr>
      </w:pPr>
    </w:p>
    <w:p w14:paraId="59B3833D"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Je nach Status des Kunden, d. h., ob der Kunde zur Stammklientel gehört, und seiner Wertigkeit für die Organisation, können die in den Punkten 6.1 bis 6.4 definierten Zahlungsmodalitäten variieren. </w:t>
      </w:r>
    </w:p>
    <w:p w14:paraId="56BEA81B" w14:textId="77777777" w:rsidR="0096518D" w:rsidRPr="006F09DB" w:rsidRDefault="0096518D" w:rsidP="0096518D">
      <w:pPr>
        <w:ind w:left="720"/>
        <w:contextualSpacing/>
        <w:rPr>
          <w:rFonts w:cs="Arial"/>
          <w:sz w:val="22"/>
          <w:szCs w:val="22"/>
        </w:rPr>
      </w:pPr>
    </w:p>
    <w:p w14:paraId="6B43F1B1"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Die zur Transaktion anfallenden Gebühren sind vom Kunden zu tragen. </w:t>
      </w:r>
    </w:p>
    <w:p w14:paraId="289C03FF" w14:textId="77777777" w:rsidR="0096518D" w:rsidRPr="006F09DB" w:rsidRDefault="0096518D" w:rsidP="0096518D">
      <w:pPr>
        <w:rPr>
          <w:rFonts w:cs="Arial"/>
          <w:sz w:val="22"/>
          <w:szCs w:val="22"/>
        </w:rPr>
      </w:pPr>
    </w:p>
    <w:p w14:paraId="0452084F" w14:textId="77777777" w:rsidR="0096518D" w:rsidRPr="006F09DB" w:rsidRDefault="0096518D" w:rsidP="0096518D">
      <w:pPr>
        <w:rPr>
          <w:rFonts w:cs="Arial"/>
          <w:sz w:val="22"/>
          <w:szCs w:val="22"/>
        </w:rPr>
      </w:pPr>
    </w:p>
    <w:p w14:paraId="5A157ACA"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Aufrechnung / Zurückbehaltungsrecht</w:t>
      </w:r>
    </w:p>
    <w:p w14:paraId="05148B27" w14:textId="77777777" w:rsidR="0096518D" w:rsidRPr="006F09DB" w:rsidRDefault="0096518D" w:rsidP="0096518D">
      <w:pPr>
        <w:rPr>
          <w:rFonts w:cs="Arial"/>
          <w:sz w:val="22"/>
          <w:szCs w:val="22"/>
        </w:rPr>
      </w:pPr>
    </w:p>
    <w:p w14:paraId="002AFCA3"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Ein Recht zur Aufrechnung steht dem Kunden nur dann zu, wenn seine Gegenforderung rechtskräftig festgestellt worden ist oder von uns nicht bestritten wird.</w:t>
      </w:r>
    </w:p>
    <w:p w14:paraId="0C2AA5CD" w14:textId="77777777" w:rsidR="0096518D" w:rsidRPr="006F09DB" w:rsidRDefault="0096518D" w:rsidP="0096518D">
      <w:pPr>
        <w:ind w:left="709"/>
        <w:rPr>
          <w:rFonts w:cs="Arial"/>
          <w:sz w:val="22"/>
          <w:szCs w:val="22"/>
        </w:rPr>
      </w:pPr>
    </w:p>
    <w:p w14:paraId="5B275FDF"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Der Kunde kann ein Zurückbehaltungsrecht nur geltend machen, soweit seine Gegenforderung auf demselben Vertragsverhältnis beruht.</w:t>
      </w:r>
    </w:p>
    <w:p w14:paraId="1095D149" w14:textId="77777777" w:rsidR="0096518D" w:rsidRPr="006F09DB" w:rsidRDefault="0096518D" w:rsidP="0096518D">
      <w:pPr>
        <w:ind w:left="720"/>
        <w:contextualSpacing/>
        <w:rPr>
          <w:rFonts w:cs="Arial"/>
          <w:sz w:val="22"/>
          <w:szCs w:val="22"/>
        </w:rPr>
      </w:pPr>
    </w:p>
    <w:p w14:paraId="5E8A9B8F"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Wir können ein Zurückbehaltungsrecht gegenüber allen künftigen, auch anerkannten Bestellungen des Kunden geltend machen, wenn der Kunde seinen Zahlungspflichten nicht nachkommt.</w:t>
      </w:r>
    </w:p>
    <w:p w14:paraId="067EA614" w14:textId="77777777" w:rsidR="0096518D" w:rsidRPr="006F09DB" w:rsidRDefault="0096518D" w:rsidP="0096518D">
      <w:pPr>
        <w:rPr>
          <w:rFonts w:cs="Arial"/>
          <w:sz w:val="22"/>
          <w:szCs w:val="22"/>
        </w:rPr>
      </w:pPr>
    </w:p>
    <w:p w14:paraId="43B5FAAC" w14:textId="77777777" w:rsidR="0096518D" w:rsidRPr="006F09DB" w:rsidRDefault="0096518D" w:rsidP="0096518D">
      <w:pPr>
        <w:rPr>
          <w:rFonts w:cs="Arial"/>
          <w:sz w:val="22"/>
          <w:szCs w:val="22"/>
        </w:rPr>
      </w:pPr>
    </w:p>
    <w:p w14:paraId="375E752C"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Lieferung, Transportgefahr, Liefertermine</w:t>
      </w:r>
    </w:p>
    <w:p w14:paraId="3DC1E6E9" w14:textId="77777777" w:rsidR="0096518D" w:rsidRPr="006F09DB" w:rsidRDefault="0096518D" w:rsidP="0096518D">
      <w:pPr>
        <w:rPr>
          <w:rFonts w:cs="Arial"/>
          <w:sz w:val="22"/>
          <w:szCs w:val="22"/>
        </w:rPr>
      </w:pPr>
    </w:p>
    <w:p w14:paraId="52C44EE3"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Mit der Erstellung des Angebotes offeriert Gliszen.com und seine kooperierenden Partner ihrer Klientel diverse Liefermodalitäten.</w:t>
      </w:r>
    </w:p>
    <w:p w14:paraId="501336ED" w14:textId="77777777" w:rsidR="0096518D" w:rsidRPr="006F09DB" w:rsidRDefault="0096518D" w:rsidP="0096518D">
      <w:pPr>
        <w:ind w:left="709"/>
        <w:rPr>
          <w:rFonts w:cs="Arial"/>
          <w:sz w:val="22"/>
          <w:szCs w:val="22"/>
        </w:rPr>
      </w:pPr>
    </w:p>
    <w:p w14:paraId="0C2F017C"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Dem Kunden steht es seinerseits frei, sich um einen geeigneten Frachtführer zu kümmern, sofern er von dieser Serviceleistung Abstand nehmen will.</w:t>
      </w:r>
    </w:p>
    <w:p w14:paraId="0258AE4B" w14:textId="77777777" w:rsidR="0096518D" w:rsidRPr="006F09DB" w:rsidRDefault="0096518D" w:rsidP="0096518D">
      <w:pPr>
        <w:ind w:left="720"/>
        <w:contextualSpacing/>
        <w:rPr>
          <w:rFonts w:cs="Arial"/>
          <w:sz w:val="22"/>
          <w:szCs w:val="22"/>
        </w:rPr>
      </w:pPr>
    </w:p>
    <w:p w14:paraId="1F232839"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Größere Lieferumfänge werden ausschließlich gemäß den Klauseln 5.2, F-Gruppe, und den Klauseln 5.3, C-Klauseln, gemäß den Incoterms 2020 abgewickelt, sofern nichts anderes vertraglich vereinbart wurde. </w:t>
      </w:r>
    </w:p>
    <w:p w14:paraId="22CAD64C" w14:textId="77777777" w:rsidR="0096518D" w:rsidRPr="006F09DB" w:rsidRDefault="0096518D" w:rsidP="0096518D">
      <w:pPr>
        <w:ind w:left="720"/>
        <w:contextualSpacing/>
        <w:rPr>
          <w:rFonts w:cs="Arial"/>
          <w:sz w:val="22"/>
          <w:szCs w:val="22"/>
        </w:rPr>
      </w:pPr>
    </w:p>
    <w:p w14:paraId="5A8BE5F1" w14:textId="77777777" w:rsidR="0096518D" w:rsidRDefault="0096518D" w:rsidP="0096518D">
      <w:pPr>
        <w:numPr>
          <w:ilvl w:val="1"/>
          <w:numId w:val="19"/>
        </w:numPr>
        <w:ind w:left="709" w:hanging="567"/>
        <w:rPr>
          <w:rFonts w:cs="Arial"/>
          <w:sz w:val="22"/>
          <w:szCs w:val="22"/>
        </w:rPr>
      </w:pPr>
      <w:r w:rsidRPr="006F09DB">
        <w:rPr>
          <w:rFonts w:cs="Arial"/>
          <w:sz w:val="22"/>
          <w:szCs w:val="22"/>
        </w:rPr>
        <w:t xml:space="preserve">Die Gefahr geht mit der Übergabe der Ware an den Spediteur, Frachtführer oder sonst zur Ausführung der Versendung bestellten Dritten auf den Kunden über. Die Übergabe beginnt zeitgleich mit dem Verladevorgang.                                                                     Ein Annahmeverzug des Kunden führt zum Gefahrenübergang. </w:t>
      </w:r>
    </w:p>
    <w:p w14:paraId="44014191" w14:textId="77777777" w:rsidR="0096518D" w:rsidRPr="006F09DB" w:rsidRDefault="0096518D" w:rsidP="0096518D">
      <w:pPr>
        <w:rPr>
          <w:rFonts w:cs="Arial"/>
          <w:sz w:val="22"/>
          <w:szCs w:val="22"/>
        </w:rPr>
      </w:pPr>
    </w:p>
    <w:p w14:paraId="7F3D2A8B"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Wir werden von unserer Leistung frei, soweit wir im Rahmen eines kongruenten Deckungsgeschäfts von unseren Zulieferern selbst nicht rechtzeitig beliefert wurden, es sei denn, wir haben die Nichtlieferung selbst zu vertreten.                                          Der Kunde wird über die fehlende Belieferung unverzüglich informiert und die Gegenleistung unverzüglich erstattet.</w:t>
      </w:r>
    </w:p>
    <w:p w14:paraId="689612A6" w14:textId="77777777" w:rsidR="0096518D" w:rsidRPr="006F09DB" w:rsidRDefault="0096518D" w:rsidP="0096518D">
      <w:pPr>
        <w:ind w:left="720"/>
        <w:contextualSpacing/>
        <w:rPr>
          <w:rFonts w:cs="Arial"/>
          <w:sz w:val="22"/>
          <w:szCs w:val="22"/>
        </w:rPr>
      </w:pPr>
    </w:p>
    <w:p w14:paraId="605669C2"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Soweit kein ausdrücklich verbindlicher Liefertermin vereinbart wurde, sind unsere Liefertermine bzw. Lieferfristen ausschließlich unverbindliche Angaben</w:t>
      </w:r>
      <w:r>
        <w:rPr>
          <w:rFonts w:cs="Arial"/>
          <w:sz w:val="22"/>
          <w:szCs w:val="22"/>
        </w:rPr>
        <w:t xml:space="preserve"> </w:t>
      </w:r>
      <w:r w:rsidRPr="009E3CAC">
        <w:rPr>
          <w:rFonts w:cs="Arial"/>
          <w:sz w:val="22"/>
          <w:szCs w:val="22"/>
        </w:rPr>
        <w:t>und dienen lediglich zur Orientierung</w:t>
      </w:r>
      <w:r>
        <w:rPr>
          <w:rFonts w:cs="Arial"/>
          <w:sz w:val="22"/>
          <w:szCs w:val="22"/>
        </w:rPr>
        <w:t>.</w:t>
      </w:r>
    </w:p>
    <w:p w14:paraId="6E241030" w14:textId="77777777" w:rsidR="0096518D" w:rsidRPr="006F09DB" w:rsidRDefault="0096518D" w:rsidP="0096518D">
      <w:pPr>
        <w:ind w:left="720"/>
        <w:contextualSpacing/>
        <w:rPr>
          <w:rFonts w:cs="Arial"/>
          <w:sz w:val="22"/>
          <w:szCs w:val="22"/>
        </w:rPr>
      </w:pPr>
    </w:p>
    <w:p w14:paraId="788E0409"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Die Angabe der Lieferfristen entnimmt der Kunde seinem Vertrag</w:t>
      </w:r>
      <w:r>
        <w:rPr>
          <w:rFonts w:cs="Arial"/>
          <w:sz w:val="22"/>
          <w:szCs w:val="22"/>
        </w:rPr>
        <w:t xml:space="preserve"> und / oder dem Angebot. </w:t>
      </w:r>
    </w:p>
    <w:p w14:paraId="7B3DBE2F" w14:textId="77777777" w:rsidR="0096518D" w:rsidRPr="006F09DB" w:rsidRDefault="0096518D" w:rsidP="0096518D">
      <w:pPr>
        <w:ind w:left="720"/>
        <w:contextualSpacing/>
        <w:rPr>
          <w:rFonts w:cs="Arial"/>
          <w:sz w:val="22"/>
          <w:szCs w:val="22"/>
        </w:rPr>
      </w:pPr>
    </w:p>
    <w:p w14:paraId="0AB60717"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Der Beginn der von uns angegebenen Lieferzeit setzt die rechtzeitige und ordnungsgemäße Erfüllung der Verpflichtungen des Kunden voraus.                             Zur ordnungsgemäßen Erfüllung der Verpflichtungen des Kunden zählen unter anderem:  </w:t>
      </w:r>
    </w:p>
    <w:p w14:paraId="043AB422" w14:textId="77777777" w:rsidR="0096518D" w:rsidRPr="006F09DB" w:rsidRDefault="0096518D" w:rsidP="0096518D">
      <w:pPr>
        <w:rPr>
          <w:rFonts w:cs="Arial"/>
          <w:sz w:val="22"/>
          <w:szCs w:val="22"/>
        </w:rPr>
      </w:pPr>
    </w:p>
    <w:p w14:paraId="5B1D275C" w14:textId="77777777" w:rsidR="0096518D" w:rsidRPr="006F09DB" w:rsidRDefault="0096518D" w:rsidP="0096518D">
      <w:pPr>
        <w:numPr>
          <w:ilvl w:val="2"/>
          <w:numId w:val="19"/>
        </w:numPr>
        <w:ind w:hanging="645"/>
        <w:rPr>
          <w:rFonts w:cs="Arial"/>
          <w:sz w:val="22"/>
          <w:szCs w:val="22"/>
        </w:rPr>
      </w:pPr>
      <w:r w:rsidRPr="006F09DB">
        <w:rPr>
          <w:rFonts w:cs="Arial"/>
          <w:sz w:val="22"/>
          <w:szCs w:val="22"/>
        </w:rPr>
        <w:t xml:space="preserve">Die fristgerechte Bezahlung seitens des Kunden. </w:t>
      </w:r>
    </w:p>
    <w:p w14:paraId="087BD84E" w14:textId="77777777" w:rsidR="0096518D" w:rsidRPr="006F09DB" w:rsidRDefault="0096518D" w:rsidP="0096518D">
      <w:pPr>
        <w:ind w:left="1212"/>
        <w:rPr>
          <w:rFonts w:cs="Arial"/>
          <w:sz w:val="22"/>
          <w:szCs w:val="22"/>
        </w:rPr>
      </w:pPr>
    </w:p>
    <w:p w14:paraId="1225E0AF" w14:textId="77777777" w:rsidR="0096518D" w:rsidRPr="006F09DB" w:rsidRDefault="0096518D" w:rsidP="0096518D">
      <w:pPr>
        <w:numPr>
          <w:ilvl w:val="2"/>
          <w:numId w:val="19"/>
        </w:numPr>
        <w:ind w:hanging="645"/>
        <w:rPr>
          <w:rFonts w:cs="Arial"/>
          <w:sz w:val="22"/>
          <w:szCs w:val="22"/>
        </w:rPr>
      </w:pPr>
      <w:r w:rsidRPr="006F09DB">
        <w:rPr>
          <w:rFonts w:cs="Arial"/>
          <w:sz w:val="22"/>
          <w:szCs w:val="22"/>
        </w:rPr>
        <w:t xml:space="preserve">Die Gewährleistung der termingerechten Warenannahme / Übergabe durch den Kunden selbst, und / oder dessen beauftragten Frachtführer / Importeur, und / oder einer weiteren von ihm benannten dritten Partei am vereinbarten Übergabeort, sofern eine solche Absprache in schriftlicher Form getroffen wurde.  </w:t>
      </w:r>
    </w:p>
    <w:p w14:paraId="522963D4" w14:textId="77777777" w:rsidR="0096518D" w:rsidRPr="006F09DB" w:rsidRDefault="0096518D" w:rsidP="0096518D">
      <w:pPr>
        <w:ind w:left="1212"/>
        <w:rPr>
          <w:rFonts w:cs="Arial"/>
          <w:sz w:val="22"/>
          <w:szCs w:val="22"/>
        </w:rPr>
      </w:pPr>
      <w:r w:rsidRPr="006F09DB">
        <w:rPr>
          <w:rFonts w:cs="Arial"/>
          <w:sz w:val="22"/>
          <w:szCs w:val="22"/>
        </w:rPr>
        <w:t xml:space="preserve">Kommt der Kunde und / oder einer seiner benannten Vertreter in Annahmeverzug oder verletzt er schuldhaft sonstige Mitwirkungspflichten, so ist Gliszen.com berechtigt den hierdurch entstandenen Schaden sowie resultierende Mehraufwendungen ersetzt zu verlangen.                                                                                                                                        </w:t>
      </w:r>
    </w:p>
    <w:p w14:paraId="18E79615" w14:textId="77777777" w:rsidR="0096518D" w:rsidRPr="006F09DB" w:rsidRDefault="0096518D" w:rsidP="0096518D">
      <w:pPr>
        <w:rPr>
          <w:rFonts w:cs="Arial"/>
          <w:sz w:val="22"/>
          <w:szCs w:val="22"/>
        </w:rPr>
      </w:pPr>
    </w:p>
    <w:p w14:paraId="077563D9"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Wir sind zu Teillieferungen berechtigt, soweit dem Kunden dies unter Abwägung der beiderseitigen Interessen zumutbar ist.                                                                       Zusätzliche Versandkosten gehen zu unseren Lasten.                                                            Die Gefahr geht mit Übergabe der jeweiligen Teillieferung auf den Kunden über. Sofern wir mit ausstehenden Teilleistungen in Verzug geraten oder uns die Lieferung ausstehender Teilleistungen nicht möglich ist, ist der Kunde dazu berechtigt, vom Vertrag insgesamt zurückzutreten oder Schadensersatz wegen Nichterfüllung der gesamten Verbindlichkeit zu verlangen, sofern er kein Interesse an der Teillieferung hat.</w:t>
      </w:r>
    </w:p>
    <w:p w14:paraId="3D84227F" w14:textId="77777777" w:rsidR="0096518D" w:rsidRPr="006F09DB" w:rsidRDefault="0096518D" w:rsidP="0096518D">
      <w:pPr>
        <w:rPr>
          <w:rFonts w:cs="Arial"/>
          <w:sz w:val="22"/>
          <w:szCs w:val="22"/>
        </w:rPr>
      </w:pPr>
    </w:p>
    <w:p w14:paraId="112C317D"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lastRenderedPageBreak/>
        <w:t xml:space="preserve">Eigentumsvorbehalt </w:t>
      </w:r>
    </w:p>
    <w:p w14:paraId="67734998" w14:textId="77777777" w:rsidR="0096518D" w:rsidRPr="006F09DB" w:rsidRDefault="0096518D" w:rsidP="0096518D">
      <w:pPr>
        <w:rPr>
          <w:rFonts w:cs="Arial"/>
          <w:sz w:val="22"/>
          <w:szCs w:val="22"/>
        </w:rPr>
      </w:pPr>
    </w:p>
    <w:p w14:paraId="4CDB4D78"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Das Unternehmen und seine Partner bewahren sich das Eigentumsrecht an der Ware bis zum vollständigen Ausgleich aller Forderungen aus dem laufenden Vertrag vor.  </w:t>
      </w:r>
    </w:p>
    <w:p w14:paraId="1437DB19" w14:textId="77777777" w:rsidR="0096518D" w:rsidRPr="006F09DB" w:rsidRDefault="0096518D" w:rsidP="0096518D">
      <w:pPr>
        <w:ind w:left="709"/>
        <w:rPr>
          <w:rFonts w:cs="Arial"/>
          <w:sz w:val="22"/>
          <w:szCs w:val="22"/>
        </w:rPr>
      </w:pPr>
    </w:p>
    <w:p w14:paraId="3DDD1424"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Sollte die Begleichung der Forderungen entgegen der Vereinbarung (siehe Kapitel 6.4) nicht innerhalb einer angemessenen Frist nach Übergabe der Versand- und Lieferdokumente vollzogen sein, so gewähren die Organisation und seine Partner dem Kunden einen weiteren Aufschub der Frist um weitere 5 Wochentage zur Tilgung dieser Schuld. </w:t>
      </w:r>
    </w:p>
    <w:p w14:paraId="655A7C8C" w14:textId="77777777" w:rsidR="0096518D" w:rsidRPr="006F09DB" w:rsidRDefault="0096518D" w:rsidP="0096518D">
      <w:pPr>
        <w:ind w:left="720"/>
        <w:contextualSpacing/>
        <w:rPr>
          <w:rFonts w:cs="Arial"/>
          <w:sz w:val="22"/>
          <w:szCs w:val="22"/>
        </w:rPr>
      </w:pPr>
    </w:p>
    <w:p w14:paraId="5B68EE09"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Die Benachrichtigung über den nach Kapitel 9.2 gewährten Aufschub erfolgt per E-Mail. </w:t>
      </w:r>
    </w:p>
    <w:p w14:paraId="6380ADAD" w14:textId="77777777" w:rsidR="0096518D" w:rsidRPr="006F09DB" w:rsidRDefault="0096518D" w:rsidP="0096518D">
      <w:pPr>
        <w:ind w:left="720"/>
        <w:contextualSpacing/>
        <w:rPr>
          <w:rFonts w:cs="Arial"/>
          <w:sz w:val="22"/>
          <w:szCs w:val="22"/>
        </w:rPr>
      </w:pPr>
    </w:p>
    <w:p w14:paraId="5A93C0F4"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Nach Ablauf der unter Kapitel 9.2 gewährten Frist</w:t>
      </w:r>
      <w:r>
        <w:rPr>
          <w:rFonts w:cs="Arial"/>
          <w:sz w:val="22"/>
          <w:szCs w:val="22"/>
        </w:rPr>
        <w:t xml:space="preserve"> ohne, dass der Kunde seine Verpflichtung nachgekommen ist, </w:t>
      </w:r>
      <w:r w:rsidRPr="006F09DB">
        <w:rPr>
          <w:rFonts w:cs="Arial"/>
          <w:sz w:val="22"/>
          <w:szCs w:val="22"/>
        </w:rPr>
        <w:t>steht es der Organisation und seinen Kooperationspartner frei vom Vertrag zurückzutreten.</w:t>
      </w:r>
    </w:p>
    <w:p w14:paraId="715E3B30" w14:textId="77777777" w:rsidR="0096518D" w:rsidRPr="006F09DB" w:rsidRDefault="0096518D" w:rsidP="0096518D">
      <w:pPr>
        <w:ind w:left="720"/>
        <w:contextualSpacing/>
        <w:rPr>
          <w:rFonts w:cs="Arial"/>
          <w:sz w:val="22"/>
          <w:szCs w:val="22"/>
        </w:rPr>
      </w:pPr>
    </w:p>
    <w:p w14:paraId="47118584"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Im Falle einer Nichterfüllung gemäß den Bestimmungen aus Kapitel 9.2 bis 9.4 seitens des Kunden, steht Gliszen.com und seinen Partnern das Recht zu, für alle durch die Nichterfüllung entstandenen Schäden eine verhältnismäßige Aufwandsentschädigung geltend zu machen.</w:t>
      </w:r>
    </w:p>
    <w:p w14:paraId="063BF425" w14:textId="77777777" w:rsidR="0096518D" w:rsidRPr="006F09DB" w:rsidRDefault="0096518D" w:rsidP="0096518D">
      <w:pPr>
        <w:ind w:left="720"/>
        <w:contextualSpacing/>
        <w:rPr>
          <w:rFonts w:cs="Arial"/>
          <w:sz w:val="22"/>
          <w:szCs w:val="22"/>
        </w:rPr>
      </w:pPr>
    </w:p>
    <w:p w14:paraId="4511E517"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Des Weiteren verpflichten wir uns die uns zustehenden Sicherheiten auf Verlangen insoweit freizugeben, als der realisierbare Wert unserer Sicherheiten die zu sichernden Forderungen um mehr als 10 % übersteigt. Die Auswahl der freizugebenden Sicherheiten obliegt uns.</w:t>
      </w:r>
    </w:p>
    <w:p w14:paraId="5A8E7F4B" w14:textId="77777777" w:rsidR="0096518D" w:rsidRPr="006F09DB" w:rsidRDefault="0096518D" w:rsidP="0096518D">
      <w:pPr>
        <w:rPr>
          <w:rFonts w:cs="Arial"/>
          <w:sz w:val="22"/>
          <w:szCs w:val="22"/>
        </w:rPr>
      </w:pPr>
    </w:p>
    <w:p w14:paraId="27B63537" w14:textId="77777777" w:rsidR="0096518D" w:rsidRPr="006F09DB" w:rsidRDefault="0096518D" w:rsidP="0096518D">
      <w:pPr>
        <w:rPr>
          <w:rFonts w:cs="Arial"/>
          <w:sz w:val="22"/>
          <w:szCs w:val="22"/>
        </w:rPr>
      </w:pPr>
    </w:p>
    <w:p w14:paraId="14245813"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Gewährleistung / Reklamation</w:t>
      </w:r>
    </w:p>
    <w:p w14:paraId="51538341" w14:textId="77777777" w:rsidR="0096518D" w:rsidRPr="006F09DB" w:rsidRDefault="0096518D" w:rsidP="0096518D">
      <w:pPr>
        <w:ind w:left="426"/>
        <w:rPr>
          <w:rFonts w:cs="Arial"/>
          <w:sz w:val="22"/>
          <w:szCs w:val="22"/>
        </w:rPr>
      </w:pPr>
    </w:p>
    <w:p w14:paraId="0BDF30DB" w14:textId="77777777" w:rsidR="0096518D" w:rsidRPr="006F09DB" w:rsidRDefault="0096518D" w:rsidP="0096518D">
      <w:pPr>
        <w:ind w:left="426"/>
        <w:rPr>
          <w:rFonts w:cs="Arial"/>
          <w:sz w:val="22"/>
          <w:szCs w:val="22"/>
        </w:rPr>
      </w:pPr>
      <w:r w:rsidRPr="006F09DB">
        <w:rPr>
          <w:rFonts w:cs="Arial"/>
          <w:sz w:val="22"/>
          <w:szCs w:val="22"/>
        </w:rPr>
        <w:t>Soweit nicht ausdrücklich etwas anderes vereinbart ist, richten sich die Gewährleistungsansprüche des Kunden nach den gesetzlichen Bestimmungen des Kaufrechts mit den in den folgenden Absätzen bestimmten Modifikationen.</w:t>
      </w:r>
    </w:p>
    <w:p w14:paraId="0C61E5AD" w14:textId="77777777" w:rsidR="0096518D" w:rsidRPr="006F09DB" w:rsidRDefault="0096518D" w:rsidP="0096518D">
      <w:pPr>
        <w:ind w:left="426"/>
        <w:rPr>
          <w:rFonts w:cs="Arial"/>
          <w:sz w:val="22"/>
          <w:szCs w:val="22"/>
        </w:rPr>
      </w:pPr>
    </w:p>
    <w:p w14:paraId="22B4E675"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Für die Beschaffenheit der Ware sind nur unsere eigenen Angaben und die Produktbeschreibung des Herstellers verbindlich, nicht jedoch öffentliche Anpreisungen und Äußerungen und sonstige Werbung des Herstellers.                                                   Muster, Materialbeschaffenheiten und Struktur der Produkte können von den Angaben im Online-Shop abweichen.                                                                                                     Unsere Angaben zum Gegenstand der Lieferung oder der Leistung einschließlich der Abbildungen sind nur annähernde Beschreibungen, soweit nicht für den vertraglichen Zweck eine genaue Übereinstimmung erforderlich ist.</w:t>
      </w:r>
    </w:p>
    <w:p w14:paraId="10F9CA5C" w14:textId="77777777" w:rsidR="0096518D" w:rsidRPr="006F09DB" w:rsidRDefault="0096518D" w:rsidP="0096518D">
      <w:pPr>
        <w:ind w:left="709"/>
        <w:rPr>
          <w:rFonts w:cs="Arial"/>
          <w:sz w:val="22"/>
          <w:szCs w:val="22"/>
        </w:rPr>
      </w:pPr>
    </w:p>
    <w:p w14:paraId="59D4D335" w14:textId="77777777" w:rsidR="0096518D" w:rsidRPr="00340536" w:rsidRDefault="0096518D" w:rsidP="0096518D">
      <w:pPr>
        <w:numPr>
          <w:ilvl w:val="1"/>
          <w:numId w:val="19"/>
        </w:numPr>
        <w:ind w:left="709" w:hanging="567"/>
        <w:rPr>
          <w:rFonts w:cs="Arial"/>
          <w:sz w:val="22"/>
          <w:szCs w:val="22"/>
        </w:rPr>
      </w:pPr>
      <w:r w:rsidRPr="006F09DB">
        <w:rPr>
          <w:rFonts w:cs="Arial"/>
          <w:sz w:val="22"/>
          <w:szCs w:val="22"/>
        </w:rPr>
        <w:t>Sie sind verpflichtet, die Ware mit der gebotenen Sorgfalt auf Qualitäts- und Mengenabweichungen zu untersuchen und uns offensichtliche Mängel unverzüglich nach Empfang der Ware anzuzeigen.                                                                           Dies gilt auch für später festgestellte verdeckte Mängel ab Entdeckung.                                                                                                 Bei Verletzung der Untersuchungs- und Rügepflicht ist die Geltendmachung der Gewährleistungsansprüche ausgeschlossen.</w:t>
      </w:r>
    </w:p>
    <w:p w14:paraId="54B78367"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lastRenderedPageBreak/>
        <w:t>Bei Mängeln leisten wir nach unserer Wahl Gewähr durch Nachbesserung oder Ersatzlieferung (Nacherfüllung).                                                                                       Im Falle der Nachbesserung müssen wir nicht die erhöhten Kosten tragen, die durch die Verbringung der Ware an einen anderen Ort als den Erfüllungsort entstehen, sofern die Verbringung nicht dem bestimmungsgemäßen Gebrauch der Ware entspricht.</w:t>
      </w:r>
    </w:p>
    <w:p w14:paraId="1F38D685" w14:textId="77777777" w:rsidR="0096518D" w:rsidRPr="006F09DB" w:rsidRDefault="0096518D" w:rsidP="0096518D">
      <w:pPr>
        <w:ind w:left="720"/>
        <w:contextualSpacing/>
        <w:rPr>
          <w:rFonts w:cs="Arial"/>
          <w:sz w:val="22"/>
          <w:szCs w:val="22"/>
        </w:rPr>
      </w:pPr>
    </w:p>
    <w:p w14:paraId="628A6675"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Schlägt die Nacherfüllung zweimal fehl, kann der Kunde nach seiner Wahl Minderung verlangen oder vom Vertrag zurücktreten</w:t>
      </w:r>
      <w:r>
        <w:rPr>
          <w:rFonts w:cs="Arial"/>
          <w:sz w:val="22"/>
          <w:szCs w:val="22"/>
        </w:rPr>
        <w:t xml:space="preserve">, oder von Teilen des Vertrages. </w:t>
      </w:r>
    </w:p>
    <w:p w14:paraId="728994E8" w14:textId="77777777" w:rsidR="0096518D" w:rsidRPr="006F09DB" w:rsidRDefault="0096518D" w:rsidP="0096518D">
      <w:pPr>
        <w:ind w:left="720"/>
        <w:contextualSpacing/>
        <w:rPr>
          <w:rFonts w:cs="Arial"/>
          <w:sz w:val="22"/>
          <w:szCs w:val="22"/>
        </w:rPr>
      </w:pPr>
    </w:p>
    <w:p w14:paraId="23227288"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Die Gewährleistungsfrist beträgt zwei Jahre ab Ablieferung der Ware.                                  Diese Beschränkung gilt nicht für Ansprüche aufgrund von Schäden aus der Verletzung des Lebens, des Körpers oder der Gesundheit oder aus der Verletzung einer wesentlichen Vertragspflicht, deren Erfüllung die ordnungsgemäße Durchführung des Vertrags überhaupt erst ermöglicht und auf deren Einhaltung der Vertragspartner regelmäßig vertrauen darf sowie für Ansprüche aufgrund von sonstigen Schäden, die auf einer vorsätzlichen oder grob fahrlässigen Pflichtverletzung von uns oder unseren Erfüllungsgehilfen beruhen.</w:t>
      </w:r>
    </w:p>
    <w:p w14:paraId="7B9094C2" w14:textId="77777777" w:rsidR="0096518D" w:rsidRPr="006F09DB" w:rsidRDefault="0096518D" w:rsidP="0096518D">
      <w:pPr>
        <w:ind w:left="720"/>
        <w:contextualSpacing/>
        <w:rPr>
          <w:rFonts w:cs="Arial"/>
          <w:sz w:val="22"/>
          <w:szCs w:val="22"/>
        </w:rPr>
      </w:pPr>
    </w:p>
    <w:p w14:paraId="74A7D002"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Im Falle einer Reklamation wird dem Kunden folgende Vorgehensweise empfohlen: </w:t>
      </w:r>
    </w:p>
    <w:p w14:paraId="64E3CE8A" w14:textId="77777777" w:rsidR="0096518D" w:rsidRPr="006F09DB" w:rsidRDefault="0096518D" w:rsidP="0096518D">
      <w:pPr>
        <w:ind w:left="426"/>
        <w:rPr>
          <w:rFonts w:cs="Arial"/>
          <w:sz w:val="22"/>
          <w:szCs w:val="22"/>
        </w:rPr>
      </w:pPr>
    </w:p>
    <w:p w14:paraId="1277810B" w14:textId="77777777" w:rsidR="0096518D" w:rsidRPr="006F09DB" w:rsidRDefault="0096518D" w:rsidP="0096518D">
      <w:pPr>
        <w:numPr>
          <w:ilvl w:val="2"/>
          <w:numId w:val="19"/>
        </w:numPr>
        <w:ind w:left="1276" w:hanging="709"/>
        <w:rPr>
          <w:rFonts w:cs="Arial"/>
          <w:sz w:val="22"/>
          <w:szCs w:val="22"/>
        </w:rPr>
      </w:pPr>
      <w:r w:rsidRPr="006F09DB">
        <w:rPr>
          <w:rFonts w:cs="Arial"/>
          <w:sz w:val="22"/>
          <w:szCs w:val="22"/>
        </w:rPr>
        <w:t xml:space="preserve">Bitte senden Sie uns das ausgefüllte </w:t>
      </w:r>
      <w:r w:rsidRPr="00102DB7">
        <w:rPr>
          <w:rFonts w:cs="Arial"/>
          <w:i/>
          <w:iCs/>
          <w:color w:val="002060"/>
          <w:sz w:val="22"/>
          <w:szCs w:val="22"/>
          <w:u w:val="single"/>
        </w:rPr>
        <w:t>complaint form</w:t>
      </w:r>
      <w:r w:rsidRPr="006F09DB">
        <w:rPr>
          <w:rFonts w:cs="Arial"/>
          <w:sz w:val="22"/>
          <w:szCs w:val="22"/>
        </w:rPr>
        <w:t xml:space="preserve"> unter der Verwendung der E-Mail-Adresse </w:t>
      </w:r>
      <w:hyperlink r:id="rId11" w:history="1">
        <w:r w:rsidRPr="006F09DB">
          <w:rPr>
            <w:rStyle w:val="Hyperlink"/>
            <w:rFonts w:cs="Arial"/>
            <w:i/>
            <w:iCs/>
            <w:color w:val="002060"/>
            <w:sz w:val="22"/>
            <w:szCs w:val="22"/>
          </w:rPr>
          <w:t>complaint@</w:t>
        </w:r>
        <w:r w:rsidRPr="00147AE2">
          <w:rPr>
            <w:rStyle w:val="Hyperlink"/>
            <w:rFonts w:cs="Arial"/>
            <w:i/>
            <w:iCs/>
            <w:color w:val="002060"/>
            <w:sz w:val="22"/>
            <w:szCs w:val="22"/>
          </w:rPr>
          <w:t>g</w:t>
        </w:r>
        <w:r w:rsidRPr="006F09DB">
          <w:rPr>
            <w:rStyle w:val="Hyperlink"/>
            <w:rFonts w:cs="Arial"/>
            <w:i/>
            <w:iCs/>
            <w:color w:val="002060"/>
            <w:sz w:val="22"/>
            <w:szCs w:val="22"/>
          </w:rPr>
          <w:t>liszen.com</w:t>
        </w:r>
      </w:hyperlink>
      <w:r w:rsidRPr="006F09DB">
        <w:rPr>
          <w:rFonts w:cs="Arial"/>
          <w:i/>
          <w:iCs/>
          <w:color w:val="002060"/>
          <w:sz w:val="22"/>
          <w:szCs w:val="22"/>
          <w:u w:val="single"/>
        </w:rPr>
        <w:t xml:space="preserve"> </w:t>
      </w:r>
      <w:r w:rsidRPr="006F09DB">
        <w:rPr>
          <w:rFonts w:cs="Arial"/>
          <w:sz w:val="22"/>
          <w:szCs w:val="22"/>
        </w:rPr>
        <w:t>zu.</w:t>
      </w:r>
    </w:p>
    <w:p w14:paraId="0D9E2E9C" w14:textId="77777777" w:rsidR="0096518D" w:rsidRPr="006F09DB" w:rsidRDefault="0096518D" w:rsidP="0096518D">
      <w:pPr>
        <w:ind w:left="1276"/>
        <w:rPr>
          <w:rFonts w:cs="Arial"/>
          <w:sz w:val="22"/>
          <w:szCs w:val="22"/>
        </w:rPr>
      </w:pPr>
    </w:p>
    <w:p w14:paraId="086EBF36" w14:textId="77777777" w:rsidR="0096518D" w:rsidRPr="006F09DB" w:rsidRDefault="0096518D" w:rsidP="0096518D">
      <w:pPr>
        <w:numPr>
          <w:ilvl w:val="2"/>
          <w:numId w:val="19"/>
        </w:numPr>
        <w:ind w:left="1276" w:hanging="709"/>
        <w:rPr>
          <w:rFonts w:cs="Arial"/>
          <w:sz w:val="22"/>
          <w:szCs w:val="22"/>
        </w:rPr>
      </w:pPr>
      <w:r w:rsidRPr="006F09DB">
        <w:rPr>
          <w:rFonts w:cs="Arial"/>
          <w:sz w:val="22"/>
          <w:szCs w:val="22"/>
        </w:rPr>
        <w:t xml:space="preserve">Gliszen.com wird Ihnen zeitnah eine Vorgangsnummer zurück korrespondieren. </w:t>
      </w:r>
    </w:p>
    <w:p w14:paraId="1BAA385C" w14:textId="77777777" w:rsidR="0096518D" w:rsidRPr="006F09DB" w:rsidRDefault="0096518D" w:rsidP="0096518D">
      <w:pPr>
        <w:rPr>
          <w:rFonts w:cs="Arial"/>
          <w:sz w:val="22"/>
          <w:szCs w:val="22"/>
        </w:rPr>
      </w:pPr>
    </w:p>
    <w:p w14:paraId="6C40EEAC" w14:textId="77777777" w:rsidR="0096518D" w:rsidRPr="006F09DB" w:rsidRDefault="0096518D" w:rsidP="0096518D">
      <w:pPr>
        <w:numPr>
          <w:ilvl w:val="2"/>
          <w:numId w:val="19"/>
        </w:numPr>
        <w:ind w:left="1276" w:hanging="709"/>
        <w:rPr>
          <w:rFonts w:cs="Arial"/>
          <w:sz w:val="22"/>
          <w:szCs w:val="22"/>
        </w:rPr>
      </w:pPr>
      <w:r w:rsidRPr="006F09DB">
        <w:rPr>
          <w:rFonts w:cs="Arial"/>
          <w:sz w:val="22"/>
          <w:szCs w:val="22"/>
        </w:rPr>
        <w:t xml:space="preserve">Unter dieser Vorgangsnummer werden wir intern den Sachverhalt prüfen und Ihnen unsere Erkenntnisse möglichst zeitnah mitteilen. </w:t>
      </w:r>
    </w:p>
    <w:p w14:paraId="121120BE" w14:textId="77777777" w:rsidR="0096518D" w:rsidRPr="006F09DB" w:rsidRDefault="0096518D" w:rsidP="0096518D">
      <w:pPr>
        <w:rPr>
          <w:rFonts w:cs="Arial"/>
          <w:sz w:val="22"/>
          <w:szCs w:val="22"/>
        </w:rPr>
      </w:pPr>
    </w:p>
    <w:p w14:paraId="3621CE00" w14:textId="77777777" w:rsidR="0096518D" w:rsidRPr="006F09DB" w:rsidRDefault="0096518D" w:rsidP="0096518D">
      <w:pPr>
        <w:rPr>
          <w:rFonts w:cs="Arial"/>
          <w:sz w:val="22"/>
          <w:szCs w:val="22"/>
        </w:rPr>
      </w:pPr>
    </w:p>
    <w:p w14:paraId="49E89996" w14:textId="77777777" w:rsidR="0096518D" w:rsidRDefault="0096518D" w:rsidP="0096518D">
      <w:pPr>
        <w:numPr>
          <w:ilvl w:val="0"/>
          <w:numId w:val="19"/>
        </w:numPr>
        <w:ind w:left="426"/>
        <w:rPr>
          <w:rFonts w:cs="Arial"/>
          <w:b/>
          <w:bCs/>
          <w:sz w:val="22"/>
          <w:szCs w:val="22"/>
        </w:rPr>
      </w:pPr>
      <w:r>
        <w:rPr>
          <w:rFonts w:cs="Arial"/>
          <w:b/>
          <w:bCs/>
          <w:sz w:val="22"/>
          <w:szCs w:val="22"/>
        </w:rPr>
        <w:t>Kommunikation</w:t>
      </w:r>
    </w:p>
    <w:p w14:paraId="7B58E32F" w14:textId="77777777" w:rsidR="0096518D" w:rsidRDefault="0096518D" w:rsidP="0096518D">
      <w:pPr>
        <w:ind w:left="426"/>
        <w:rPr>
          <w:rFonts w:cs="Arial"/>
          <w:sz w:val="22"/>
          <w:szCs w:val="22"/>
        </w:rPr>
      </w:pPr>
    </w:p>
    <w:p w14:paraId="1C107E28" w14:textId="77777777" w:rsidR="0096518D" w:rsidRPr="005877A2" w:rsidRDefault="0096518D" w:rsidP="0096518D">
      <w:pPr>
        <w:ind w:left="426"/>
        <w:rPr>
          <w:rFonts w:cs="Arial"/>
          <w:sz w:val="22"/>
          <w:szCs w:val="22"/>
        </w:rPr>
      </w:pPr>
      <w:r w:rsidRPr="005877A2">
        <w:rPr>
          <w:rFonts w:cs="Arial"/>
          <w:sz w:val="22"/>
          <w:szCs w:val="22"/>
        </w:rPr>
        <w:t>Die Gesellschaft stellt ihren kooperierenden Partnern und der Klientel mehrere Kommunikationsmöglichkeiten zur Verfügung.</w:t>
      </w:r>
    </w:p>
    <w:p w14:paraId="3FC49694" w14:textId="77777777" w:rsidR="0096518D" w:rsidRPr="005877A2" w:rsidRDefault="0096518D" w:rsidP="0096518D">
      <w:pPr>
        <w:ind w:left="426"/>
        <w:rPr>
          <w:rFonts w:cs="Arial"/>
          <w:sz w:val="22"/>
          <w:szCs w:val="22"/>
        </w:rPr>
      </w:pPr>
      <w:r w:rsidRPr="005877A2">
        <w:rPr>
          <w:rFonts w:cs="Arial"/>
          <w:sz w:val="22"/>
          <w:szCs w:val="22"/>
        </w:rPr>
        <w:t>Unter anderem finden sich auf Gliszen.com diverse E-Mail-Adressen wieder, die es den Beteiligten ermöglichen themenbezogene Anfragen per Mail an die jeweiligen Fachbereiche zu stellen.</w:t>
      </w:r>
    </w:p>
    <w:p w14:paraId="73D181A1" w14:textId="77777777" w:rsidR="0096518D" w:rsidRPr="005877A2" w:rsidRDefault="0096518D" w:rsidP="0096518D">
      <w:pPr>
        <w:ind w:left="426"/>
        <w:rPr>
          <w:rFonts w:cs="Arial"/>
          <w:sz w:val="22"/>
          <w:szCs w:val="22"/>
        </w:rPr>
      </w:pPr>
      <w:r w:rsidRPr="005877A2">
        <w:rPr>
          <w:rFonts w:cs="Arial"/>
          <w:sz w:val="22"/>
          <w:szCs w:val="22"/>
        </w:rPr>
        <w:t>Ein weiteres wesentliches Medium zur Kommunikation stellt das Gliszen.com Chat-System dar.</w:t>
      </w:r>
    </w:p>
    <w:p w14:paraId="476703D6" w14:textId="77777777" w:rsidR="0096518D" w:rsidRPr="005877A2" w:rsidRDefault="0096518D" w:rsidP="0096518D">
      <w:pPr>
        <w:ind w:left="426"/>
        <w:rPr>
          <w:rFonts w:cs="Arial"/>
          <w:sz w:val="22"/>
          <w:szCs w:val="22"/>
        </w:rPr>
      </w:pPr>
      <w:r w:rsidRPr="005877A2">
        <w:rPr>
          <w:rFonts w:cs="Arial"/>
          <w:sz w:val="22"/>
          <w:szCs w:val="22"/>
        </w:rPr>
        <w:t>Jedes Konto verfügt über ein solches Chat-Fenster, über das sich eine direkte Verbindung zur Gliszen.com Administration herstellen lässt, und darüber hinaus die Kommunikation mit den anderen Kooperationspartnern gewährleistet wird.</w:t>
      </w:r>
    </w:p>
    <w:p w14:paraId="560AF671" w14:textId="77777777" w:rsidR="0096518D" w:rsidRPr="005877A2" w:rsidRDefault="0096518D" w:rsidP="0096518D">
      <w:pPr>
        <w:ind w:left="426"/>
        <w:rPr>
          <w:rFonts w:cs="Arial"/>
          <w:sz w:val="22"/>
          <w:szCs w:val="22"/>
        </w:rPr>
      </w:pPr>
      <w:r w:rsidRPr="005877A2">
        <w:rPr>
          <w:rFonts w:cs="Arial"/>
          <w:sz w:val="22"/>
          <w:szCs w:val="22"/>
        </w:rPr>
        <w:t>Insbesondere im operativen Bereich stellt dieses Chat-System eine sehr effiziente Möglichkeit zum Kommunikationsaustausch dar.</w:t>
      </w:r>
    </w:p>
    <w:p w14:paraId="7D9D34C0" w14:textId="77777777" w:rsidR="0096518D" w:rsidRDefault="0096518D" w:rsidP="0096518D">
      <w:pPr>
        <w:ind w:left="426"/>
        <w:rPr>
          <w:rFonts w:cs="Arial"/>
          <w:sz w:val="22"/>
          <w:szCs w:val="22"/>
        </w:rPr>
      </w:pPr>
      <w:r w:rsidRPr="005877A2">
        <w:rPr>
          <w:rFonts w:cs="Arial"/>
          <w:sz w:val="22"/>
          <w:szCs w:val="22"/>
        </w:rPr>
        <w:t>Aus diesem Grund sind alle Parteien und ebenso alle Kunden dazu aufgerufen, ihre Benachrichtigungen auf dem Portal regelmäßig abzurufen, vornehmlich in Erwartung einer Resonanz auf ein hier nicht näher spezifiziertes Anliegen.</w:t>
      </w:r>
    </w:p>
    <w:p w14:paraId="12FD9294" w14:textId="77777777" w:rsidR="0096518D" w:rsidRDefault="0096518D" w:rsidP="0096518D">
      <w:pPr>
        <w:ind w:left="426"/>
        <w:rPr>
          <w:rFonts w:cs="Arial"/>
          <w:sz w:val="22"/>
          <w:szCs w:val="22"/>
        </w:rPr>
      </w:pPr>
    </w:p>
    <w:p w14:paraId="24ECEFBD" w14:textId="77777777" w:rsidR="0096518D" w:rsidRDefault="0096518D" w:rsidP="0096518D">
      <w:pPr>
        <w:ind w:left="426"/>
        <w:rPr>
          <w:rFonts w:cs="Arial"/>
          <w:sz w:val="22"/>
          <w:szCs w:val="22"/>
        </w:rPr>
      </w:pPr>
    </w:p>
    <w:p w14:paraId="30B5F370" w14:textId="77777777" w:rsidR="0096518D" w:rsidRPr="005877A2" w:rsidRDefault="0096518D" w:rsidP="0096518D">
      <w:pPr>
        <w:ind w:left="426"/>
        <w:rPr>
          <w:rFonts w:cs="Arial"/>
          <w:sz w:val="22"/>
          <w:szCs w:val="22"/>
        </w:rPr>
      </w:pPr>
    </w:p>
    <w:p w14:paraId="4F48D7FE"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lastRenderedPageBreak/>
        <w:t xml:space="preserve">Haftung </w:t>
      </w:r>
    </w:p>
    <w:p w14:paraId="38930FFA" w14:textId="77777777" w:rsidR="0096518D" w:rsidRPr="006F09DB" w:rsidRDefault="0096518D" w:rsidP="0096518D">
      <w:pPr>
        <w:ind w:left="426"/>
        <w:rPr>
          <w:rFonts w:cs="Arial"/>
          <w:sz w:val="22"/>
          <w:szCs w:val="22"/>
        </w:rPr>
      </w:pPr>
    </w:p>
    <w:p w14:paraId="7CD8C874"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Gliszen.com und seine Partner haften unbeschränkt für Vorsatz und grobe Fahrlässigkeit sowie nach Maßgabe des Produkthaftungsgesetzes.                               Für leichte Fahrlässigkeit haften wir bei Schäden aus der Verletzung des Lebens, des Körpers und der Gesundheit von Personen.</w:t>
      </w:r>
    </w:p>
    <w:p w14:paraId="238EF3CB" w14:textId="77777777" w:rsidR="0096518D" w:rsidRPr="006F09DB" w:rsidRDefault="0096518D" w:rsidP="0096518D">
      <w:pPr>
        <w:ind w:left="709"/>
        <w:rPr>
          <w:rFonts w:cs="Arial"/>
          <w:sz w:val="22"/>
          <w:szCs w:val="22"/>
        </w:rPr>
      </w:pPr>
    </w:p>
    <w:p w14:paraId="3E2B6AB8"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Im Übrigen gilt folgende beschränkte Haftung:                                                                Bei leichter Fahrlässigkeit haften wir nur im Falle der Verletzung einer wesentlichen Vertragspflicht, deren Erfüllung die ordnungsgemäße Durchführung des Vertrags überhaupt erst ermöglicht und auf deren Einhaltung Sie regelmäßig vertrauen dürfen.                                                                                                          Die Haftung für leichte Fahrlässigkeit ist der Höhe nach beschränkt auf die bei Vertragsschluss vorhersehbaren Schäden, mit deren Entstehung typischerweise gerechnet werden muss.                                                                                              Diese Haftungsbeschränkung gilt auch zugunsten unserer Erfüllungsgehilfen.</w:t>
      </w:r>
    </w:p>
    <w:p w14:paraId="22A9E29F" w14:textId="77777777" w:rsidR="0096518D" w:rsidRPr="006F09DB" w:rsidRDefault="0096518D" w:rsidP="0096518D">
      <w:pPr>
        <w:ind w:left="720"/>
        <w:contextualSpacing/>
        <w:rPr>
          <w:rFonts w:cs="Arial"/>
          <w:sz w:val="22"/>
          <w:szCs w:val="22"/>
        </w:rPr>
      </w:pPr>
    </w:p>
    <w:p w14:paraId="6A67B611" w14:textId="77777777" w:rsidR="0096518D" w:rsidRDefault="0096518D" w:rsidP="0096518D">
      <w:pPr>
        <w:numPr>
          <w:ilvl w:val="1"/>
          <w:numId w:val="19"/>
        </w:numPr>
        <w:ind w:left="709" w:hanging="567"/>
        <w:rPr>
          <w:rFonts w:cs="Arial"/>
          <w:sz w:val="22"/>
          <w:szCs w:val="22"/>
        </w:rPr>
      </w:pPr>
      <w:r w:rsidRPr="006F09DB">
        <w:rPr>
          <w:rFonts w:cs="Arial"/>
          <w:sz w:val="22"/>
          <w:szCs w:val="22"/>
        </w:rPr>
        <w:t xml:space="preserve">Fragen, Anregungen und Beschwerden hinsichtlich Produkthaftung und Produktsicherheit sind unter Zuhilfenahme des Formblattes </w:t>
      </w:r>
      <w:r>
        <w:rPr>
          <w:rFonts w:cs="Arial"/>
          <w:sz w:val="22"/>
          <w:szCs w:val="22"/>
        </w:rPr>
        <w:t>„</w:t>
      </w:r>
      <w:r w:rsidRPr="006F09DB">
        <w:rPr>
          <w:rFonts w:cs="Arial"/>
          <w:i/>
          <w:iCs/>
          <w:color w:val="002060"/>
          <w:sz w:val="22"/>
          <w:szCs w:val="22"/>
          <w:u w:val="single"/>
        </w:rPr>
        <w:t>regulatory</w:t>
      </w:r>
      <w:r w:rsidRPr="00102DB7">
        <w:rPr>
          <w:rFonts w:cs="Arial"/>
          <w:i/>
          <w:iCs/>
          <w:color w:val="002060"/>
          <w:sz w:val="22"/>
          <w:szCs w:val="22"/>
          <w:u w:val="single"/>
        </w:rPr>
        <w:t xml:space="preserve"> </w:t>
      </w:r>
      <w:proofErr w:type="spellStart"/>
      <w:r w:rsidRPr="006F09DB">
        <w:rPr>
          <w:rFonts w:cs="Arial"/>
          <w:i/>
          <w:iCs/>
          <w:color w:val="002060"/>
          <w:sz w:val="22"/>
          <w:szCs w:val="22"/>
          <w:u w:val="single"/>
        </w:rPr>
        <w:t>form</w:t>
      </w:r>
      <w:proofErr w:type="spellEnd"/>
      <w:r>
        <w:rPr>
          <w:rFonts w:cs="Arial"/>
          <w:sz w:val="22"/>
          <w:szCs w:val="22"/>
        </w:rPr>
        <w:t>“</w:t>
      </w:r>
      <w:r w:rsidRPr="006F09DB">
        <w:rPr>
          <w:rFonts w:cs="Arial"/>
          <w:sz w:val="22"/>
          <w:szCs w:val="22"/>
        </w:rPr>
        <w:t xml:space="preserve"> an </w:t>
      </w:r>
      <w:hyperlink r:id="rId12" w:history="1">
        <w:r w:rsidRPr="006F09DB">
          <w:rPr>
            <w:rFonts w:cs="Arial"/>
            <w:i/>
            <w:iCs/>
            <w:color w:val="002060"/>
            <w:sz w:val="22"/>
            <w:szCs w:val="22"/>
            <w:u w:val="single"/>
          </w:rPr>
          <w:t>regulatory@gliszen.com</w:t>
        </w:r>
      </w:hyperlink>
      <w:r w:rsidRPr="006F09DB">
        <w:rPr>
          <w:rFonts w:cs="Arial"/>
          <w:i/>
          <w:iCs/>
          <w:color w:val="002060"/>
          <w:sz w:val="22"/>
          <w:szCs w:val="22"/>
          <w:u w:val="single"/>
        </w:rPr>
        <w:t xml:space="preserve"> </w:t>
      </w:r>
      <w:r w:rsidRPr="006F09DB">
        <w:rPr>
          <w:rFonts w:cs="Arial"/>
          <w:sz w:val="22"/>
          <w:szCs w:val="22"/>
        </w:rPr>
        <w:t>zu richten.</w:t>
      </w:r>
    </w:p>
    <w:p w14:paraId="27C08EE2" w14:textId="77777777" w:rsidR="0096518D" w:rsidRDefault="0096518D" w:rsidP="0096518D">
      <w:pPr>
        <w:pStyle w:val="Listenabsatz"/>
        <w:rPr>
          <w:rFonts w:cs="Arial"/>
          <w:sz w:val="22"/>
          <w:szCs w:val="22"/>
        </w:rPr>
      </w:pPr>
    </w:p>
    <w:p w14:paraId="21362C60" w14:textId="77777777" w:rsidR="0096518D" w:rsidRPr="005A29F7" w:rsidRDefault="0096518D" w:rsidP="0096518D">
      <w:pPr>
        <w:ind w:left="709"/>
        <w:rPr>
          <w:rFonts w:cs="Arial"/>
          <w:sz w:val="22"/>
          <w:szCs w:val="22"/>
        </w:rPr>
      </w:pPr>
    </w:p>
    <w:p w14:paraId="36512229" w14:textId="77777777" w:rsidR="0096518D" w:rsidRDefault="0096518D" w:rsidP="0096518D">
      <w:pPr>
        <w:numPr>
          <w:ilvl w:val="0"/>
          <w:numId w:val="19"/>
        </w:numPr>
        <w:ind w:left="426"/>
        <w:rPr>
          <w:rFonts w:cs="Arial"/>
          <w:b/>
          <w:bCs/>
          <w:sz w:val="22"/>
          <w:szCs w:val="22"/>
        </w:rPr>
      </w:pPr>
      <w:r>
        <w:rPr>
          <w:rFonts w:cs="Arial"/>
          <w:b/>
          <w:bCs/>
          <w:sz w:val="22"/>
          <w:szCs w:val="22"/>
        </w:rPr>
        <w:t>Vertragssprache</w:t>
      </w:r>
    </w:p>
    <w:p w14:paraId="61985D14" w14:textId="77777777" w:rsidR="0096518D" w:rsidRDefault="0096518D" w:rsidP="0096518D">
      <w:pPr>
        <w:ind w:left="426"/>
        <w:rPr>
          <w:rFonts w:cs="Arial"/>
          <w:sz w:val="22"/>
          <w:szCs w:val="22"/>
        </w:rPr>
      </w:pPr>
    </w:p>
    <w:p w14:paraId="2D37AE78" w14:textId="77777777" w:rsidR="0096518D" w:rsidRPr="00937385" w:rsidRDefault="0096518D" w:rsidP="0096518D">
      <w:pPr>
        <w:ind w:left="426"/>
        <w:rPr>
          <w:rFonts w:cs="Arial"/>
          <w:sz w:val="22"/>
          <w:szCs w:val="22"/>
        </w:rPr>
      </w:pPr>
      <w:r w:rsidRPr="00937385">
        <w:rPr>
          <w:rFonts w:cs="Arial"/>
          <w:sz w:val="22"/>
          <w:szCs w:val="22"/>
        </w:rPr>
        <w:t>Als internationales Unternehmen ist Gliszen.com stets bestrebt, weltweit Kunden und Kooperationspartner zu akquirieren.</w:t>
      </w:r>
    </w:p>
    <w:p w14:paraId="4C2D0224" w14:textId="77777777" w:rsidR="0096518D" w:rsidRPr="00937385" w:rsidRDefault="0096518D" w:rsidP="0096518D">
      <w:pPr>
        <w:ind w:left="426"/>
        <w:rPr>
          <w:rFonts w:cs="Arial"/>
          <w:sz w:val="22"/>
          <w:szCs w:val="22"/>
        </w:rPr>
      </w:pPr>
      <w:r w:rsidRPr="00937385">
        <w:rPr>
          <w:rFonts w:cs="Arial"/>
          <w:sz w:val="22"/>
          <w:szCs w:val="22"/>
        </w:rPr>
        <w:t>Es ist jedoch nicht immer möglich, alle verbindlichen und obligatorischen Dokumente in allen Sprachen zu veröffentlichen.</w:t>
      </w:r>
    </w:p>
    <w:p w14:paraId="75B80308" w14:textId="77777777" w:rsidR="0096518D" w:rsidRPr="00937385" w:rsidRDefault="0096518D" w:rsidP="0096518D">
      <w:pPr>
        <w:ind w:left="426"/>
        <w:rPr>
          <w:rFonts w:cs="Arial"/>
          <w:sz w:val="22"/>
          <w:szCs w:val="22"/>
        </w:rPr>
      </w:pPr>
      <w:r w:rsidRPr="00937385">
        <w:rPr>
          <w:rFonts w:cs="Arial"/>
          <w:sz w:val="22"/>
          <w:szCs w:val="22"/>
        </w:rPr>
        <w:t xml:space="preserve">Daher sind </w:t>
      </w:r>
      <w:r w:rsidRPr="00F160DD">
        <w:rPr>
          <w:rFonts w:cs="Arial"/>
          <w:b/>
          <w:bCs/>
          <w:sz w:val="22"/>
          <w:szCs w:val="22"/>
        </w:rPr>
        <w:t>nur die englischen Fassungen</w:t>
      </w:r>
      <w:r w:rsidRPr="00937385">
        <w:rPr>
          <w:rFonts w:cs="Arial"/>
          <w:sz w:val="22"/>
          <w:szCs w:val="22"/>
        </w:rPr>
        <w:t xml:space="preserve"> der Allgemeinen Geschäftsbedingungen und aller anderen Dokumente </w:t>
      </w:r>
      <w:r w:rsidRPr="00F160DD">
        <w:rPr>
          <w:rFonts w:cs="Arial"/>
          <w:b/>
          <w:bCs/>
          <w:sz w:val="22"/>
          <w:szCs w:val="22"/>
        </w:rPr>
        <w:t>rechtsverbindlich</w:t>
      </w:r>
      <w:r w:rsidRPr="00937385">
        <w:rPr>
          <w:rFonts w:cs="Arial"/>
          <w:sz w:val="22"/>
          <w:szCs w:val="22"/>
        </w:rPr>
        <w:t>.</w:t>
      </w:r>
    </w:p>
    <w:p w14:paraId="2F592F96" w14:textId="77777777" w:rsidR="0096518D" w:rsidRDefault="0096518D" w:rsidP="0096518D">
      <w:pPr>
        <w:ind w:left="426"/>
        <w:rPr>
          <w:rFonts w:cs="Arial"/>
          <w:sz w:val="22"/>
          <w:szCs w:val="22"/>
        </w:rPr>
      </w:pPr>
      <w:r w:rsidRPr="00937385">
        <w:rPr>
          <w:rFonts w:cs="Arial"/>
          <w:sz w:val="22"/>
          <w:szCs w:val="22"/>
        </w:rPr>
        <w:t>Andere Sprachen dienen nur zur Orientierung.</w:t>
      </w:r>
    </w:p>
    <w:p w14:paraId="0B8353B4" w14:textId="77777777" w:rsidR="0096518D" w:rsidRDefault="0096518D" w:rsidP="0096518D">
      <w:pPr>
        <w:ind w:left="426"/>
        <w:rPr>
          <w:rFonts w:cs="Arial"/>
          <w:sz w:val="22"/>
          <w:szCs w:val="22"/>
        </w:rPr>
      </w:pPr>
    </w:p>
    <w:p w14:paraId="482EDB6F" w14:textId="77777777" w:rsidR="0096518D" w:rsidRPr="00937385" w:rsidRDefault="0096518D" w:rsidP="0096518D">
      <w:pPr>
        <w:ind w:left="426"/>
        <w:rPr>
          <w:rFonts w:cs="Arial"/>
          <w:sz w:val="22"/>
          <w:szCs w:val="22"/>
        </w:rPr>
      </w:pPr>
    </w:p>
    <w:p w14:paraId="48A51042"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t xml:space="preserve">Gerichtsstand / Schlussbestimmung </w:t>
      </w:r>
    </w:p>
    <w:p w14:paraId="7F6D9322" w14:textId="77777777" w:rsidR="0096518D" w:rsidRPr="006F09DB" w:rsidRDefault="0096518D" w:rsidP="0096518D">
      <w:pPr>
        <w:ind w:left="426"/>
        <w:rPr>
          <w:rFonts w:cs="Arial"/>
          <w:sz w:val="22"/>
          <w:szCs w:val="22"/>
        </w:rPr>
      </w:pPr>
    </w:p>
    <w:p w14:paraId="29B2736B"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Sollten eine oder mehrere Bestimmungen dieser AGB unwirksam sein oder werden, wird dadurch die Wirksamkeit der anderen Bestimmungen im Übrigen nicht berührt.</w:t>
      </w:r>
    </w:p>
    <w:p w14:paraId="3E029149" w14:textId="77777777" w:rsidR="0096518D" w:rsidRPr="006F09DB" w:rsidRDefault="0096518D" w:rsidP="0096518D">
      <w:pPr>
        <w:ind w:left="709"/>
        <w:rPr>
          <w:rFonts w:cs="Arial"/>
          <w:sz w:val="22"/>
          <w:szCs w:val="22"/>
        </w:rPr>
      </w:pPr>
    </w:p>
    <w:p w14:paraId="038C66F4"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 xml:space="preserve">Auf Verträge zwischen uns und Ihnen ist ausschließlich jamaikanisches Recht anwendbar unter Ausschluss der Bestimmungen der United Nations Convention on Contracts for the International Sale </w:t>
      </w:r>
      <w:proofErr w:type="spellStart"/>
      <w:r w:rsidRPr="006F09DB">
        <w:rPr>
          <w:rFonts w:cs="Arial"/>
          <w:sz w:val="22"/>
          <w:szCs w:val="22"/>
        </w:rPr>
        <w:t>of</w:t>
      </w:r>
      <w:proofErr w:type="spellEnd"/>
      <w:r w:rsidRPr="006F09DB">
        <w:rPr>
          <w:rFonts w:cs="Arial"/>
          <w:sz w:val="22"/>
          <w:szCs w:val="22"/>
        </w:rPr>
        <w:t xml:space="preserve"> Goods (CISG, „UNKaufrecht“). </w:t>
      </w:r>
    </w:p>
    <w:p w14:paraId="3C56526B" w14:textId="77777777" w:rsidR="0096518D" w:rsidRPr="006F09DB" w:rsidRDefault="0096518D" w:rsidP="0096518D">
      <w:pPr>
        <w:ind w:left="720"/>
        <w:contextualSpacing/>
        <w:rPr>
          <w:rFonts w:cs="Arial"/>
          <w:sz w:val="22"/>
          <w:szCs w:val="22"/>
        </w:rPr>
      </w:pPr>
    </w:p>
    <w:p w14:paraId="56A49A0D" w14:textId="77777777" w:rsidR="0096518D" w:rsidRPr="006F09DB" w:rsidRDefault="0096518D" w:rsidP="0096518D">
      <w:pPr>
        <w:numPr>
          <w:ilvl w:val="1"/>
          <w:numId w:val="19"/>
        </w:numPr>
        <w:ind w:left="709" w:hanging="567"/>
        <w:rPr>
          <w:rFonts w:cs="Arial"/>
          <w:sz w:val="22"/>
          <w:szCs w:val="22"/>
        </w:rPr>
      </w:pPr>
      <w:r w:rsidRPr="006F09DB">
        <w:rPr>
          <w:rFonts w:cs="Arial"/>
          <w:sz w:val="22"/>
          <w:szCs w:val="22"/>
        </w:rPr>
        <w:t>Sind Sie Kaufmann, juristische Person des öffentlichen Rechts oder öffentlich-rechtliches Sondervermögen, so gilt Gerichtsstand für alle Streitigkeiten aus oder im Zusammenhang mit Verträgen zwischen uns und den Kunden an unserem Geschäftssitz.</w:t>
      </w:r>
    </w:p>
    <w:p w14:paraId="03B6D3FF" w14:textId="77777777" w:rsidR="0096518D" w:rsidRPr="006F09DB" w:rsidRDefault="0096518D" w:rsidP="0096518D">
      <w:pPr>
        <w:rPr>
          <w:rFonts w:cs="Arial"/>
          <w:sz w:val="22"/>
          <w:szCs w:val="22"/>
        </w:rPr>
      </w:pPr>
    </w:p>
    <w:p w14:paraId="17EF8700" w14:textId="77777777" w:rsidR="0096518D" w:rsidRDefault="0096518D" w:rsidP="0096518D">
      <w:pPr>
        <w:rPr>
          <w:rFonts w:cs="Arial"/>
          <w:sz w:val="22"/>
          <w:szCs w:val="22"/>
        </w:rPr>
      </w:pPr>
    </w:p>
    <w:p w14:paraId="5B1AC8AA" w14:textId="77777777" w:rsidR="0096518D" w:rsidRDefault="0096518D" w:rsidP="0096518D">
      <w:pPr>
        <w:rPr>
          <w:rFonts w:cs="Arial"/>
          <w:sz w:val="22"/>
          <w:szCs w:val="22"/>
        </w:rPr>
      </w:pPr>
    </w:p>
    <w:p w14:paraId="2D910E68" w14:textId="77777777" w:rsidR="0096518D" w:rsidRDefault="0096518D" w:rsidP="0096518D">
      <w:pPr>
        <w:rPr>
          <w:rFonts w:cs="Arial"/>
          <w:sz w:val="22"/>
          <w:szCs w:val="22"/>
        </w:rPr>
      </w:pPr>
    </w:p>
    <w:p w14:paraId="30E26DCB" w14:textId="77777777" w:rsidR="0096518D" w:rsidRPr="006F09DB" w:rsidRDefault="0096518D" w:rsidP="0096518D">
      <w:pPr>
        <w:rPr>
          <w:rFonts w:cs="Arial"/>
          <w:sz w:val="22"/>
          <w:szCs w:val="22"/>
        </w:rPr>
      </w:pPr>
    </w:p>
    <w:p w14:paraId="799ADF8E" w14:textId="77777777" w:rsidR="0096518D" w:rsidRPr="006F09DB" w:rsidRDefault="0096518D" w:rsidP="0096518D">
      <w:pPr>
        <w:numPr>
          <w:ilvl w:val="0"/>
          <w:numId w:val="19"/>
        </w:numPr>
        <w:ind w:left="426"/>
        <w:rPr>
          <w:rFonts w:cs="Arial"/>
          <w:b/>
          <w:bCs/>
          <w:sz w:val="22"/>
          <w:szCs w:val="22"/>
        </w:rPr>
      </w:pPr>
      <w:r w:rsidRPr="006F09DB">
        <w:rPr>
          <w:rFonts w:cs="Arial"/>
          <w:b/>
          <w:bCs/>
          <w:sz w:val="22"/>
          <w:szCs w:val="22"/>
        </w:rPr>
        <w:lastRenderedPageBreak/>
        <w:t>Mitgeltende Unterlagen</w:t>
      </w:r>
    </w:p>
    <w:p w14:paraId="457F507C" w14:textId="77777777" w:rsidR="0096518D" w:rsidRPr="006F09DB" w:rsidRDefault="0096518D" w:rsidP="0096518D">
      <w:pPr>
        <w:ind w:left="426"/>
        <w:rPr>
          <w:rFonts w:cs="Arial"/>
          <w:sz w:val="22"/>
          <w:szCs w:val="22"/>
        </w:rPr>
      </w:pPr>
    </w:p>
    <w:p w14:paraId="403F6F4D" w14:textId="77777777" w:rsidR="0096518D" w:rsidRPr="00102DB7" w:rsidRDefault="0096518D" w:rsidP="0096518D">
      <w:pPr>
        <w:numPr>
          <w:ilvl w:val="0"/>
          <w:numId w:val="22"/>
        </w:numPr>
        <w:ind w:left="709"/>
        <w:rPr>
          <w:rFonts w:cs="Arial"/>
          <w:sz w:val="22"/>
          <w:szCs w:val="22"/>
          <w:lang w:val="en-US"/>
        </w:rPr>
      </w:pPr>
      <w:r w:rsidRPr="00102DB7">
        <w:rPr>
          <w:rFonts w:cs="Arial"/>
          <w:i/>
          <w:iCs/>
          <w:color w:val="002060"/>
          <w:sz w:val="22"/>
          <w:szCs w:val="22"/>
          <w:u w:val="single"/>
          <w:lang w:val="en-US"/>
        </w:rPr>
        <w:t>General Terms and Conditions of Use</w:t>
      </w:r>
      <w:r w:rsidRPr="00102DB7">
        <w:rPr>
          <w:rFonts w:cs="Arial"/>
          <w:sz w:val="22"/>
          <w:szCs w:val="22"/>
          <w:lang w:val="en-US"/>
        </w:rPr>
        <w:t xml:space="preserve"> </w:t>
      </w:r>
    </w:p>
    <w:p w14:paraId="5C9DB709" w14:textId="77777777" w:rsidR="0096518D" w:rsidRPr="00102DB7" w:rsidRDefault="0096518D" w:rsidP="0096518D">
      <w:pPr>
        <w:numPr>
          <w:ilvl w:val="0"/>
          <w:numId w:val="22"/>
        </w:numPr>
        <w:ind w:left="709"/>
        <w:rPr>
          <w:rFonts w:cs="Arial"/>
          <w:sz w:val="22"/>
          <w:szCs w:val="22"/>
          <w:lang w:val="en-US"/>
        </w:rPr>
      </w:pPr>
      <w:r w:rsidRPr="00102DB7">
        <w:rPr>
          <w:rFonts w:cs="Arial"/>
          <w:i/>
          <w:iCs/>
          <w:color w:val="002060"/>
          <w:sz w:val="22"/>
          <w:szCs w:val="22"/>
          <w:u w:val="single"/>
        </w:rPr>
        <w:t>Private Policy &amp; Data Security</w:t>
      </w:r>
    </w:p>
    <w:p w14:paraId="2983BAD9" w14:textId="77777777" w:rsidR="0096518D" w:rsidRPr="00102DB7" w:rsidRDefault="0096518D" w:rsidP="0096518D">
      <w:pPr>
        <w:numPr>
          <w:ilvl w:val="0"/>
          <w:numId w:val="22"/>
        </w:numPr>
        <w:ind w:left="709"/>
        <w:rPr>
          <w:rFonts w:cs="Arial"/>
          <w:sz w:val="22"/>
          <w:szCs w:val="22"/>
          <w:lang w:val="en-US"/>
        </w:rPr>
      </w:pPr>
      <w:r w:rsidRPr="00102DB7">
        <w:rPr>
          <w:rFonts w:cs="Arial"/>
          <w:i/>
          <w:iCs/>
          <w:color w:val="002060"/>
          <w:sz w:val="22"/>
          <w:szCs w:val="22"/>
          <w:u w:val="single"/>
        </w:rPr>
        <w:t xml:space="preserve">Gliszen Code </w:t>
      </w:r>
      <w:proofErr w:type="spellStart"/>
      <w:r w:rsidRPr="00102DB7">
        <w:rPr>
          <w:rFonts w:cs="Arial"/>
          <w:i/>
          <w:iCs/>
          <w:color w:val="002060"/>
          <w:sz w:val="22"/>
          <w:szCs w:val="22"/>
          <w:u w:val="single"/>
        </w:rPr>
        <w:t>of</w:t>
      </w:r>
      <w:proofErr w:type="spellEnd"/>
      <w:r w:rsidRPr="00102DB7">
        <w:rPr>
          <w:rFonts w:cs="Arial"/>
          <w:i/>
          <w:iCs/>
          <w:color w:val="002060"/>
          <w:sz w:val="22"/>
          <w:szCs w:val="22"/>
          <w:u w:val="single"/>
        </w:rPr>
        <w:t xml:space="preserve"> Conduct</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3"/>
      <w:headerReference w:type="default" r:id="rId14"/>
      <w:footerReference w:type="default" r:id="rId15"/>
      <w:headerReference w:type="first" r:id="rId16"/>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6658" w14:textId="77777777" w:rsidR="00CE58E4" w:rsidRDefault="00CE58E4" w:rsidP="00FC0F1B">
      <w:r>
        <w:separator/>
      </w:r>
    </w:p>
  </w:endnote>
  <w:endnote w:type="continuationSeparator" w:id="0">
    <w:p w14:paraId="3EE05F90" w14:textId="77777777" w:rsidR="00CE58E4" w:rsidRDefault="00CE58E4"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21976180" w:rsidR="003E6E66" w:rsidRPr="008E0A85" w:rsidRDefault="003E6E66" w:rsidP="00A1391D">
                          <w:pPr>
                            <w:jc w:val="right"/>
                            <w:rPr>
                              <w:sz w:val="14"/>
                              <w:szCs w:val="14"/>
                              <w:lang w:val="en-GB"/>
                            </w:rPr>
                          </w:pPr>
                          <w:r>
                            <w:rPr>
                              <w:sz w:val="14"/>
                              <w:szCs w:val="14"/>
                              <w:lang w:val="en-GB"/>
                            </w:rPr>
                            <w:t xml:space="preserve">Beneficiary: </w:t>
                          </w:r>
                          <w:r w:rsidR="00A1391D" w:rsidRPr="00A1391D">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21976180" w:rsidR="003E6E66" w:rsidRPr="008E0A85" w:rsidRDefault="003E6E66" w:rsidP="00A1391D">
                    <w:pPr>
                      <w:jc w:val="right"/>
                      <w:rPr>
                        <w:sz w:val="14"/>
                        <w:szCs w:val="14"/>
                        <w:lang w:val="en-GB"/>
                      </w:rPr>
                    </w:pPr>
                    <w:r>
                      <w:rPr>
                        <w:sz w:val="14"/>
                        <w:szCs w:val="14"/>
                        <w:lang w:val="en-GB"/>
                      </w:rPr>
                      <w:t xml:space="preserve">Beneficiary: </w:t>
                    </w:r>
                    <w:r w:rsidR="00A1391D" w:rsidRPr="00A1391D">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91BC" w14:textId="77777777" w:rsidR="00CE58E4" w:rsidRDefault="00CE58E4" w:rsidP="00FC0F1B">
      <w:r>
        <w:separator/>
      </w:r>
    </w:p>
  </w:footnote>
  <w:footnote w:type="continuationSeparator" w:id="0">
    <w:p w14:paraId="4A4E04F8" w14:textId="77777777" w:rsidR="00CE58E4" w:rsidRDefault="00CE58E4"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157B6C">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27029306" w14:textId="77777777" w:rsidR="00875137" w:rsidRDefault="00875137" w:rsidP="00875137">
                          <w:pPr>
                            <w:jc w:val="right"/>
                            <w:rPr>
                              <w:sz w:val="14"/>
                              <w:szCs w:val="14"/>
                              <w:lang w:val="en-GB"/>
                            </w:rPr>
                          </w:pPr>
                          <w:bookmarkStart w:id="1" w:name="_Hlk123391141"/>
                          <w:bookmarkStart w:id="2" w:name="_Hlk123391142"/>
                          <w:bookmarkStart w:id="3" w:name="_Hlk123391143"/>
                          <w:bookmarkStart w:id="4" w:name="_Hlk123391144"/>
                          <w:r>
                            <w:rPr>
                              <w:sz w:val="14"/>
                              <w:szCs w:val="14"/>
                              <w:lang w:val="en-GB"/>
                            </w:rPr>
                            <w:t xml:space="preserve">China branch </w:t>
                          </w:r>
                        </w:p>
                        <w:p w14:paraId="28CF054D" w14:textId="77777777" w:rsidR="00875137" w:rsidRDefault="00875137" w:rsidP="00875137">
                          <w:pPr>
                            <w:jc w:val="right"/>
                            <w:rPr>
                              <w:sz w:val="14"/>
                              <w:szCs w:val="14"/>
                              <w:lang w:val="en-GB"/>
                            </w:rPr>
                          </w:pPr>
                          <w:r>
                            <w:rPr>
                              <w:sz w:val="14"/>
                              <w:szCs w:val="14"/>
                              <w:lang w:val="en-GB"/>
                            </w:rPr>
                            <w:t>Guangzhou Gliszen Technology Co., Ltd</w:t>
                          </w:r>
                        </w:p>
                        <w:p w14:paraId="290B36B0" w14:textId="2C9509D9" w:rsidR="00875137" w:rsidRDefault="00875137" w:rsidP="00875137">
                          <w:pPr>
                            <w:jc w:val="right"/>
                            <w:rPr>
                              <w:sz w:val="14"/>
                              <w:szCs w:val="14"/>
                              <w:lang w:val="en-GB"/>
                            </w:rPr>
                          </w:pPr>
                          <w:r>
                            <w:rPr>
                              <w:sz w:val="14"/>
                              <w:szCs w:val="14"/>
                              <w:lang w:val="en-GB"/>
                            </w:rPr>
                            <w:t xml:space="preserve">1609, Building 3, No. 288, South Shixing Dadao Road, Shibi Street, Panyu District, Guangzhou City, Guangdong, </w:t>
                          </w:r>
                          <w:r w:rsidR="00CB05EE" w:rsidRPr="00CB05EE">
                            <w:rPr>
                              <w:sz w:val="14"/>
                              <w:szCs w:val="14"/>
                              <w:lang w:val="en-GB"/>
                            </w:rPr>
                            <w:t>511495</w:t>
                          </w:r>
                          <w:r>
                            <w:rPr>
                              <w:sz w:val="14"/>
                              <w:szCs w:val="14"/>
                              <w:lang w:val="en-GB"/>
                            </w:rPr>
                            <w:t xml:space="preserve"> China</w:t>
                          </w:r>
                        </w:p>
                        <w:p w14:paraId="2E3DBE01" w14:textId="77777777" w:rsidR="00875137" w:rsidRDefault="00875137" w:rsidP="00875137">
                          <w:pPr>
                            <w:jc w:val="right"/>
                            <w:rPr>
                              <w:sz w:val="14"/>
                              <w:szCs w:val="14"/>
                              <w:lang w:val="en-GB"/>
                            </w:rPr>
                          </w:pPr>
                        </w:p>
                        <w:p w14:paraId="11AEEB75" w14:textId="77777777" w:rsidR="00875137" w:rsidRDefault="00875137" w:rsidP="00875137">
                          <w:pPr>
                            <w:jc w:val="right"/>
                            <w:rPr>
                              <w:sz w:val="14"/>
                              <w:szCs w:val="14"/>
                              <w:lang w:val="en-GB"/>
                            </w:rPr>
                          </w:pPr>
                          <w:r>
                            <w:rPr>
                              <w:sz w:val="14"/>
                              <w:szCs w:val="14"/>
                              <w:lang w:val="en-GB"/>
                            </w:rPr>
                            <w:t>Registered at the Guangdong</w:t>
                          </w:r>
                        </w:p>
                        <w:p w14:paraId="7E8B98BA" w14:textId="77777777" w:rsidR="00875137" w:rsidRDefault="00875137" w:rsidP="00875137">
                          <w:pPr>
                            <w:jc w:val="right"/>
                            <w:rPr>
                              <w:sz w:val="14"/>
                              <w:szCs w:val="14"/>
                              <w:lang w:val="en-GB"/>
                            </w:rPr>
                          </w:pPr>
                          <w:r>
                            <w:rPr>
                              <w:sz w:val="14"/>
                              <w:szCs w:val="14"/>
                              <w:lang w:val="en-GB"/>
                            </w:rPr>
                            <w:t>Provincial Government of P.R. China          Registration no: 91440101MA9Y5WUU5 G</w:t>
                          </w:r>
                          <w:bookmarkEnd w:id="1"/>
                          <w:bookmarkEnd w:id="2"/>
                          <w:bookmarkEnd w:id="3"/>
                          <w:bookmarkEnd w:id="4"/>
                        </w:p>
                        <w:p w14:paraId="1E414583" w14:textId="3B78DEA7"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27029306" w14:textId="77777777" w:rsidR="00875137" w:rsidRDefault="00875137" w:rsidP="00875137">
                    <w:pPr>
                      <w:jc w:val="right"/>
                      <w:rPr>
                        <w:sz w:val="14"/>
                        <w:szCs w:val="14"/>
                        <w:lang w:val="en-GB"/>
                      </w:rPr>
                    </w:pPr>
                    <w:bookmarkStart w:id="5" w:name="_Hlk123391141"/>
                    <w:bookmarkStart w:id="6" w:name="_Hlk123391142"/>
                    <w:bookmarkStart w:id="7" w:name="_Hlk123391143"/>
                    <w:bookmarkStart w:id="8" w:name="_Hlk123391144"/>
                    <w:r>
                      <w:rPr>
                        <w:sz w:val="14"/>
                        <w:szCs w:val="14"/>
                        <w:lang w:val="en-GB"/>
                      </w:rPr>
                      <w:t xml:space="preserve">China branch </w:t>
                    </w:r>
                  </w:p>
                  <w:p w14:paraId="28CF054D" w14:textId="77777777" w:rsidR="00875137" w:rsidRDefault="00875137" w:rsidP="00875137">
                    <w:pPr>
                      <w:jc w:val="right"/>
                      <w:rPr>
                        <w:sz w:val="14"/>
                        <w:szCs w:val="14"/>
                        <w:lang w:val="en-GB"/>
                      </w:rPr>
                    </w:pPr>
                    <w:r>
                      <w:rPr>
                        <w:sz w:val="14"/>
                        <w:szCs w:val="14"/>
                        <w:lang w:val="en-GB"/>
                      </w:rPr>
                      <w:t>Guangzhou Gliszen Technology Co., Ltd</w:t>
                    </w:r>
                  </w:p>
                  <w:p w14:paraId="290B36B0" w14:textId="2C9509D9" w:rsidR="00875137" w:rsidRDefault="00875137" w:rsidP="00875137">
                    <w:pPr>
                      <w:jc w:val="right"/>
                      <w:rPr>
                        <w:sz w:val="14"/>
                        <w:szCs w:val="14"/>
                        <w:lang w:val="en-GB"/>
                      </w:rPr>
                    </w:pPr>
                    <w:r>
                      <w:rPr>
                        <w:sz w:val="14"/>
                        <w:szCs w:val="14"/>
                        <w:lang w:val="en-GB"/>
                      </w:rPr>
                      <w:t xml:space="preserve">1609, Building 3, No. 288, South Shixing Dadao Road, Shibi Street, Panyu District, Guangzhou City, Guangdong, </w:t>
                    </w:r>
                    <w:r w:rsidR="00CB05EE" w:rsidRPr="00CB05EE">
                      <w:rPr>
                        <w:sz w:val="14"/>
                        <w:szCs w:val="14"/>
                        <w:lang w:val="en-GB"/>
                      </w:rPr>
                      <w:t>511495</w:t>
                    </w:r>
                    <w:r>
                      <w:rPr>
                        <w:sz w:val="14"/>
                        <w:szCs w:val="14"/>
                        <w:lang w:val="en-GB"/>
                      </w:rPr>
                      <w:t xml:space="preserve"> China</w:t>
                    </w:r>
                  </w:p>
                  <w:p w14:paraId="2E3DBE01" w14:textId="77777777" w:rsidR="00875137" w:rsidRDefault="00875137" w:rsidP="00875137">
                    <w:pPr>
                      <w:jc w:val="right"/>
                      <w:rPr>
                        <w:sz w:val="14"/>
                        <w:szCs w:val="14"/>
                        <w:lang w:val="en-GB"/>
                      </w:rPr>
                    </w:pPr>
                  </w:p>
                  <w:p w14:paraId="11AEEB75" w14:textId="77777777" w:rsidR="00875137" w:rsidRDefault="00875137" w:rsidP="00875137">
                    <w:pPr>
                      <w:jc w:val="right"/>
                      <w:rPr>
                        <w:sz w:val="14"/>
                        <w:szCs w:val="14"/>
                        <w:lang w:val="en-GB"/>
                      </w:rPr>
                    </w:pPr>
                    <w:r>
                      <w:rPr>
                        <w:sz w:val="14"/>
                        <w:szCs w:val="14"/>
                        <w:lang w:val="en-GB"/>
                      </w:rPr>
                      <w:t>Registered at the Guangdong</w:t>
                    </w:r>
                  </w:p>
                  <w:p w14:paraId="7E8B98BA" w14:textId="77777777" w:rsidR="00875137" w:rsidRDefault="00875137" w:rsidP="00875137">
                    <w:pPr>
                      <w:jc w:val="right"/>
                      <w:rPr>
                        <w:sz w:val="14"/>
                        <w:szCs w:val="14"/>
                        <w:lang w:val="en-GB"/>
                      </w:rPr>
                    </w:pPr>
                    <w:r>
                      <w:rPr>
                        <w:sz w:val="14"/>
                        <w:szCs w:val="14"/>
                        <w:lang w:val="en-GB"/>
                      </w:rPr>
                      <w:t>Provincial Government of P.R. China          Registration no: 91440101MA9Y5WUU5 G</w:t>
                    </w:r>
                    <w:bookmarkEnd w:id="5"/>
                    <w:bookmarkEnd w:id="6"/>
                    <w:bookmarkEnd w:id="7"/>
                    <w:bookmarkEnd w:id="8"/>
                  </w:p>
                  <w:p w14:paraId="1E414583" w14:textId="3B78DEA7"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157B6C"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157B6C">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F9"/>
    <w:multiLevelType w:val="multilevel"/>
    <w:tmpl w:val="58B4723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0C19B8"/>
    <w:multiLevelType w:val="hybridMultilevel"/>
    <w:tmpl w:val="25D6CF1E"/>
    <w:lvl w:ilvl="0" w:tplc="53CC43A2">
      <w:start w:val="2"/>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5B31B2F"/>
    <w:multiLevelType w:val="multilevel"/>
    <w:tmpl w:val="C3CE48C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8" w15:restartNumberingAfterBreak="0">
    <w:nsid w:val="1FF94E8D"/>
    <w:multiLevelType w:val="hybridMultilevel"/>
    <w:tmpl w:val="6098FDBA"/>
    <w:lvl w:ilvl="0" w:tplc="0407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9"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3"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4"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5"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6"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1365536">
    <w:abstractNumId w:val="11"/>
  </w:num>
  <w:num w:numId="2" w16cid:durableId="1887838371">
    <w:abstractNumId w:val="1"/>
  </w:num>
  <w:num w:numId="3" w16cid:durableId="1593470523">
    <w:abstractNumId w:val="10"/>
  </w:num>
  <w:num w:numId="4" w16cid:durableId="337393290">
    <w:abstractNumId w:val="17"/>
  </w:num>
  <w:num w:numId="5" w16cid:durableId="1684892855">
    <w:abstractNumId w:val="2"/>
  </w:num>
  <w:num w:numId="6" w16cid:durableId="1677994114">
    <w:abstractNumId w:val="20"/>
  </w:num>
  <w:num w:numId="7" w16cid:durableId="2120373795">
    <w:abstractNumId w:val="3"/>
  </w:num>
  <w:num w:numId="8" w16cid:durableId="744379814">
    <w:abstractNumId w:val="13"/>
  </w:num>
  <w:num w:numId="9" w16cid:durableId="318001500">
    <w:abstractNumId w:val="15"/>
  </w:num>
  <w:num w:numId="10" w16cid:durableId="173301281">
    <w:abstractNumId w:val="9"/>
  </w:num>
  <w:num w:numId="11" w16cid:durableId="583296072">
    <w:abstractNumId w:val="18"/>
  </w:num>
  <w:num w:numId="12" w16cid:durableId="2143883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0433">
    <w:abstractNumId w:val="14"/>
  </w:num>
  <w:num w:numId="14" w16cid:durableId="89088093">
    <w:abstractNumId w:val="12"/>
  </w:num>
  <w:num w:numId="15" w16cid:durableId="581909731">
    <w:abstractNumId w:val="21"/>
  </w:num>
  <w:num w:numId="16" w16cid:durableId="355888176">
    <w:abstractNumId w:val="4"/>
  </w:num>
  <w:num w:numId="17" w16cid:durableId="860319094">
    <w:abstractNumId w:val="19"/>
  </w:num>
  <w:num w:numId="18" w16cid:durableId="767505068">
    <w:abstractNumId w:val="16"/>
  </w:num>
  <w:num w:numId="19" w16cid:durableId="413550156">
    <w:abstractNumId w:val="0"/>
  </w:num>
  <w:num w:numId="20" w16cid:durableId="280846403">
    <w:abstractNumId w:val="6"/>
  </w:num>
  <w:num w:numId="21" w16cid:durableId="1709866687">
    <w:abstractNumId w:val="5"/>
  </w:num>
  <w:num w:numId="22" w16cid:durableId="35472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xxNYEx8KMIdUfYB8xZn1wz8xrCQUkafQHcmt27PFxxlvXujgXDnXAP/c3iS2THSww3fNz3Z5kgGnc4I/oAG9A==" w:salt="yiD0uDwqzm8Hi6ZIc7CNL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3166A"/>
    <w:rsid w:val="0006702E"/>
    <w:rsid w:val="00107A92"/>
    <w:rsid w:val="00112E94"/>
    <w:rsid w:val="00137C95"/>
    <w:rsid w:val="00157B6C"/>
    <w:rsid w:val="00254510"/>
    <w:rsid w:val="00266993"/>
    <w:rsid w:val="002734C5"/>
    <w:rsid w:val="002A3472"/>
    <w:rsid w:val="002A7FEF"/>
    <w:rsid w:val="002B3ADB"/>
    <w:rsid w:val="002B6B06"/>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875137"/>
    <w:rsid w:val="008B7064"/>
    <w:rsid w:val="008E0A85"/>
    <w:rsid w:val="0090041E"/>
    <w:rsid w:val="0096518D"/>
    <w:rsid w:val="009F121A"/>
    <w:rsid w:val="00A1391D"/>
    <w:rsid w:val="00AB267F"/>
    <w:rsid w:val="00AC2072"/>
    <w:rsid w:val="00AD4F70"/>
    <w:rsid w:val="00AD6602"/>
    <w:rsid w:val="00AF5775"/>
    <w:rsid w:val="00B840D8"/>
    <w:rsid w:val="00C76F18"/>
    <w:rsid w:val="00CA6A55"/>
    <w:rsid w:val="00CB05EE"/>
    <w:rsid w:val="00CE2E86"/>
    <w:rsid w:val="00CE58E4"/>
    <w:rsid w:val="00D10B0D"/>
    <w:rsid w:val="00DA0616"/>
    <w:rsid w:val="00DD71F7"/>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7399">
      <w:bodyDiv w:val="1"/>
      <w:marLeft w:val="0"/>
      <w:marRight w:val="0"/>
      <w:marTop w:val="0"/>
      <w:marBottom w:val="0"/>
      <w:divBdr>
        <w:top w:val="none" w:sz="0" w:space="0" w:color="auto"/>
        <w:left w:val="none" w:sz="0" w:space="0" w:color="auto"/>
        <w:bottom w:val="none" w:sz="0" w:space="0" w:color="auto"/>
        <w:right w:val="none" w:sz="0" w:space="0" w:color="auto"/>
      </w:divBdr>
    </w:div>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glisze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ulatory@glisze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glisze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jarrar@gliszen.com" TargetMode="External"/><Relationship Id="rId4" Type="http://schemas.openxmlformats.org/officeDocument/2006/relationships/settings" Target="settings.xml"/><Relationship Id="rId9" Type="http://schemas.openxmlformats.org/officeDocument/2006/relationships/hyperlink" Target="mailto:k-walters@glisze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2763</Words>
  <Characters>17411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2022-12-31T15:27:00Z</dcterms:created>
  <dcterms:modified xsi:type="dcterms:W3CDTF">2023-01-15T12:11:00Z</dcterms:modified>
</cp:coreProperties>
</file>